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19" w:lineRule="atLeast"/>
        <w:jc w:val="center"/>
        <w:rPr>
          <w:rFonts w:ascii="宋体" w:cs="Arial"/>
          <w:b/>
          <w:bCs/>
          <w:kern w:val="0"/>
          <w:sz w:val="44"/>
          <w:szCs w:val="44"/>
        </w:rPr>
      </w:pPr>
      <w:r>
        <w:rPr>
          <w:rFonts w:hint="eastAsia" w:ascii="宋体" w:hAnsi="宋体" w:cs="Arial"/>
          <w:b/>
          <w:bCs/>
          <w:kern w:val="0"/>
          <w:sz w:val="44"/>
          <w:szCs w:val="44"/>
        </w:rPr>
        <w:t>鄂尔多斯市质量技术监督局</w:t>
      </w:r>
    </w:p>
    <w:p>
      <w:pPr>
        <w:widowControl/>
        <w:spacing w:before="100" w:beforeAutospacing="1" w:after="100" w:afterAutospacing="1" w:line="419" w:lineRule="atLeast"/>
        <w:jc w:val="center"/>
        <w:rPr>
          <w:rFonts w:ascii="宋体" w:cs="Arial"/>
          <w:b/>
          <w:bCs/>
          <w:kern w:val="0"/>
          <w:sz w:val="44"/>
          <w:szCs w:val="44"/>
        </w:rPr>
      </w:pPr>
      <w:r>
        <w:rPr>
          <w:rFonts w:hint="eastAsia" w:ascii="宋体" w:hAnsi="宋体" w:cs="Arial"/>
          <w:b/>
          <w:bCs/>
          <w:kern w:val="0"/>
          <w:sz w:val="44"/>
          <w:szCs w:val="44"/>
        </w:rPr>
        <w:t>气瓶充装许可办理指南</w:t>
      </w:r>
    </w:p>
    <w:p>
      <w:pPr>
        <w:widowControl/>
        <w:snapToGrid w:val="0"/>
        <w:spacing w:line="360" w:lineRule="auto"/>
        <w:ind w:firstLine="480"/>
        <w:jc w:val="left"/>
        <w:rPr>
          <w:rFonts w:ascii="宋体" w:cs="Arial"/>
          <w:kern w:val="0"/>
          <w:sz w:val="32"/>
          <w:szCs w:val="32"/>
        </w:rPr>
      </w:pPr>
    </w:p>
    <w:p>
      <w:pPr>
        <w:spacing w:line="560" w:lineRule="exact"/>
        <w:ind w:firstLine="31680" w:firstLineChars="200"/>
        <w:rPr>
          <w:rFonts w:ascii="黑体" w:eastAsia="黑体" w:cs="Arial"/>
          <w:kern w:val="0"/>
          <w:sz w:val="32"/>
          <w:szCs w:val="32"/>
        </w:rPr>
      </w:pPr>
      <w:r>
        <w:rPr>
          <w:rFonts w:hint="eastAsia" w:ascii="黑体" w:eastAsia="黑体" w:cs="Arial"/>
          <w:kern w:val="0"/>
          <w:sz w:val="32"/>
          <w:szCs w:val="32"/>
        </w:rPr>
        <w:t>一、气瓶充装单位应当具备的基本条件：</w:t>
      </w:r>
      <w:r>
        <w:rPr>
          <w:rFonts w:ascii="黑体" w:eastAsia="黑体"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（一）</w:t>
      </w:r>
      <w:r>
        <w:rPr>
          <w:rFonts w:hint="eastAsia" w:hAnsi="仿宋" w:eastAsia="仿宋_GB2312" w:cs="Arial"/>
          <w:kern w:val="0"/>
          <w:sz w:val="32"/>
          <w:szCs w:val="32"/>
        </w:rPr>
        <w:t>具有法定资格；</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（二）</w:t>
      </w:r>
      <w:r>
        <w:rPr>
          <w:rFonts w:hint="eastAsia" w:hAnsi="仿宋" w:eastAsia="仿宋_GB2312" w:cs="Arial"/>
          <w:kern w:val="0"/>
          <w:sz w:val="32"/>
          <w:szCs w:val="32"/>
        </w:rPr>
        <w:t>取得政府规划、消防等有关部门的批准；</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（三）</w:t>
      </w:r>
      <w:r>
        <w:rPr>
          <w:rFonts w:hint="eastAsia" w:hAnsi="仿宋" w:eastAsia="仿宋_GB2312" w:cs="Arial"/>
          <w:kern w:val="0"/>
          <w:sz w:val="32"/>
          <w:szCs w:val="32"/>
        </w:rPr>
        <w:t>有与气瓶充装相适应的符合相关安全技术规范的管理人员、技术人员和作业人员；</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（四）</w:t>
      </w:r>
      <w:r>
        <w:rPr>
          <w:rFonts w:hint="eastAsia" w:hAnsi="仿宋" w:eastAsia="仿宋_GB2312" w:cs="Arial"/>
          <w:kern w:val="0"/>
          <w:sz w:val="32"/>
          <w:szCs w:val="32"/>
        </w:rPr>
        <w:t>有与充装介质种类相适应的充装设施、检测手段、场地厂房，安全设施和一定的充装介质储存（生产）能力</w:t>
      </w:r>
      <w:r>
        <w:rPr>
          <w:rFonts w:eastAsia="仿宋_GB2312" w:cs="Arial"/>
          <w:kern w:val="0"/>
          <w:sz w:val="32"/>
          <w:szCs w:val="32"/>
        </w:rPr>
        <w:t xml:space="preserve"> </w:t>
      </w:r>
      <w:r>
        <w:rPr>
          <w:rFonts w:hint="eastAsia" w:hAnsi="仿宋" w:eastAsia="仿宋_GB2312" w:cs="Arial"/>
          <w:kern w:val="0"/>
          <w:sz w:val="32"/>
          <w:szCs w:val="32"/>
        </w:rPr>
        <w:t>和足够数量的自有产权气瓶。</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（五）</w:t>
      </w:r>
      <w:r>
        <w:rPr>
          <w:rFonts w:hint="eastAsia" w:hAnsi="仿宋" w:eastAsia="仿宋_GB2312" w:cs="Arial"/>
          <w:kern w:val="0"/>
          <w:sz w:val="32"/>
          <w:szCs w:val="32"/>
        </w:rPr>
        <w:t>有健全的质量管理体系和安全管理制度以及紧急处理措施，并且能够有效运转和执行。</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（六）</w:t>
      </w:r>
      <w:r>
        <w:rPr>
          <w:rFonts w:hint="eastAsia" w:hAnsi="仿宋" w:eastAsia="仿宋_GB2312" w:cs="Arial"/>
          <w:kern w:val="0"/>
          <w:sz w:val="32"/>
          <w:szCs w:val="32"/>
        </w:rPr>
        <w:t>充装活动符合安全技术规范的要求，能够保证充装工作质量；</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eastAsia="仿宋_GB2312" w:cs="Arial"/>
          <w:kern w:val="0"/>
          <w:sz w:val="32"/>
          <w:szCs w:val="32"/>
        </w:rPr>
        <w:t>（七）能够对</w:t>
      </w:r>
      <w:r>
        <w:rPr>
          <w:rFonts w:hint="eastAsia" w:hAnsi="仿宋" w:eastAsia="仿宋_GB2312" w:cs="Arial"/>
          <w:kern w:val="0"/>
          <w:sz w:val="32"/>
          <w:szCs w:val="32"/>
        </w:rPr>
        <w:t>气瓶使用者安全使用气瓶进行指导、提供服务。</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具体的资源条件（包括人员和充装设施）见《气瓶充装许可规则》附件</w:t>
      </w:r>
      <w:r>
        <w:rPr>
          <w:rFonts w:eastAsia="仿宋_GB2312" w:cs="Arial"/>
          <w:kern w:val="0"/>
          <w:sz w:val="32"/>
          <w:szCs w:val="32"/>
        </w:rPr>
        <w:t>A</w:t>
      </w:r>
      <w:r>
        <w:rPr>
          <w:rFonts w:hint="eastAsia" w:hAnsi="仿宋" w:eastAsia="仿宋_GB2312" w:cs="Arial"/>
          <w:kern w:val="0"/>
          <w:sz w:val="32"/>
          <w:szCs w:val="32"/>
        </w:rPr>
        <w:t>、质量管理体系要求见附件</w:t>
      </w:r>
      <w:r>
        <w:rPr>
          <w:rFonts w:eastAsia="仿宋_GB2312" w:cs="Arial"/>
          <w:kern w:val="0"/>
          <w:sz w:val="32"/>
          <w:szCs w:val="32"/>
        </w:rPr>
        <w:t>B</w:t>
      </w:r>
      <w:r>
        <w:rPr>
          <w:rFonts w:hint="eastAsia" w:hAnsi="仿宋" w:eastAsia="仿宋_GB2312" w:cs="Arial"/>
          <w:kern w:val="0"/>
          <w:sz w:val="32"/>
          <w:szCs w:val="32"/>
        </w:rPr>
        <w:t>、充装工作质量要求见附件。</w:t>
      </w:r>
      <w:r>
        <w:rPr>
          <w:rFonts w:eastAsia="仿宋_GB2312" w:cs="Arial"/>
          <w:kern w:val="0"/>
          <w:sz w:val="32"/>
          <w:szCs w:val="32"/>
        </w:rPr>
        <w:t xml:space="preserve"> </w:t>
      </w:r>
    </w:p>
    <w:p>
      <w:pPr>
        <w:spacing w:line="560" w:lineRule="exact"/>
        <w:ind w:firstLine="31680" w:firstLineChars="200"/>
        <w:rPr>
          <w:rFonts w:ascii="黑体" w:eastAsia="黑体" w:cs="Arial"/>
          <w:kern w:val="0"/>
          <w:sz w:val="32"/>
          <w:szCs w:val="32"/>
        </w:rPr>
      </w:pPr>
      <w:r>
        <w:rPr>
          <w:rFonts w:hint="eastAsia" w:ascii="黑体" w:eastAsia="黑体" w:cs="Arial"/>
          <w:kern w:val="0"/>
          <w:sz w:val="32"/>
          <w:szCs w:val="32"/>
        </w:rPr>
        <w:t>二、</w:t>
      </w:r>
      <w:r>
        <w:rPr>
          <w:rFonts w:ascii="黑体" w:eastAsia="黑体" w:cs="Arial"/>
          <w:kern w:val="0"/>
          <w:sz w:val="32"/>
          <w:szCs w:val="32"/>
        </w:rPr>
        <w:t> </w:t>
      </w:r>
      <w:r>
        <w:rPr>
          <w:rFonts w:hint="eastAsia" w:ascii="黑体" w:eastAsia="黑体" w:cs="Arial"/>
          <w:kern w:val="0"/>
          <w:sz w:val="32"/>
          <w:szCs w:val="32"/>
        </w:rPr>
        <w:t>许可程序</w:t>
      </w:r>
      <w:r>
        <w:rPr>
          <w:rFonts w:ascii="黑体" w:eastAsia="黑体"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气瓶充装许可程序包括申请、受理、鉴定评审和审批发证。</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（一）申请</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气瓶充装许可的单位</w:t>
      </w:r>
      <w:r>
        <w:rPr>
          <w:rFonts w:eastAsia="仿宋_GB2312" w:cs="Arial"/>
          <w:kern w:val="0"/>
          <w:sz w:val="32"/>
          <w:szCs w:val="32"/>
        </w:rPr>
        <w:t>(</w:t>
      </w:r>
      <w:r>
        <w:rPr>
          <w:rFonts w:hint="eastAsia" w:hAnsi="仿宋" w:eastAsia="仿宋_GB2312" w:cs="Arial"/>
          <w:kern w:val="0"/>
          <w:sz w:val="32"/>
          <w:szCs w:val="32"/>
        </w:rPr>
        <w:t>以下简称申请单位</w:t>
      </w:r>
      <w:r>
        <w:rPr>
          <w:rFonts w:eastAsia="仿宋_GB2312" w:cs="Arial"/>
          <w:kern w:val="0"/>
          <w:sz w:val="32"/>
          <w:szCs w:val="32"/>
        </w:rPr>
        <w:t>)</w:t>
      </w:r>
      <w:r>
        <w:rPr>
          <w:rFonts w:hint="eastAsia" w:hAnsi="仿宋" w:eastAsia="仿宋_GB2312" w:cs="Arial"/>
          <w:kern w:val="0"/>
          <w:sz w:val="32"/>
          <w:szCs w:val="32"/>
        </w:rPr>
        <w:t>，填写《气瓶充装许可申请书》（以下简称《申请书》，一式四份，附电子文件），并且附以下资料（各一份），向鄂尔多斯市政务服务大厅市质量技术监督局窗口提出书面申请：</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1</w:t>
      </w:r>
      <w:r>
        <w:rPr>
          <w:rFonts w:hint="eastAsia" w:hAnsi="仿宋" w:eastAsia="仿宋_GB2312" w:cs="Arial"/>
          <w:kern w:val="0"/>
          <w:sz w:val="32"/>
          <w:szCs w:val="32"/>
        </w:rPr>
        <w:t>、工商营业执照或者工商行政管理部门同意办理工商营业执照的证明（复印件）；</w:t>
      </w:r>
      <w:r>
        <w:rPr>
          <w:rFonts w:eastAsia="仿宋_GB2312" w:cs="Arial"/>
          <w:kern w:val="0"/>
          <w:sz w:val="32"/>
          <w:szCs w:val="32"/>
        </w:rPr>
        <w:t xml:space="preserve"> </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2</w:t>
      </w:r>
      <w:r>
        <w:rPr>
          <w:rFonts w:hint="eastAsia" w:hAnsi="仿宋" w:eastAsia="仿宋_GB2312" w:cs="Arial"/>
          <w:kern w:val="0"/>
          <w:sz w:val="32"/>
          <w:szCs w:val="32"/>
        </w:rPr>
        <w:t>、政府规划、消防等有关部门的批准文件（复印件）；</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新建充装单位应当经政府规划主管部门批准，取得《建设工程规划许可证》和《建设工程验收合格证》；原有已建充装单位应当有政府规划主管部门同意建站的相关证明文件。</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新建充装单位应当向政府消防主管部门申请建设工程消防验收，经验收合格后取得消防验收意见书；原有已建充装单位应当有政府消防主管部门认定消防合格的相关证明文件。</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3</w:t>
      </w:r>
      <w:r>
        <w:rPr>
          <w:rFonts w:hint="eastAsia" w:hAnsi="仿宋" w:eastAsia="仿宋_GB2312" w:cs="Arial"/>
          <w:kern w:val="0"/>
          <w:sz w:val="32"/>
          <w:szCs w:val="32"/>
        </w:rPr>
        <w:t>、气瓶使用登记表（气瓶档案）；（车用气瓶充装许可不需此项）</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4</w:t>
      </w:r>
      <w:r>
        <w:rPr>
          <w:rFonts w:hint="eastAsia" w:hAnsi="仿宋" w:eastAsia="仿宋_GB2312" w:cs="Arial"/>
          <w:kern w:val="0"/>
          <w:sz w:val="32"/>
          <w:szCs w:val="32"/>
        </w:rPr>
        <w:t>、质量管理手册；</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5</w:t>
      </w:r>
      <w:r>
        <w:rPr>
          <w:rFonts w:hint="eastAsia" w:hAnsi="仿宋" w:eastAsia="仿宋_GB2312" w:cs="Arial"/>
          <w:kern w:val="0"/>
          <w:sz w:val="32"/>
          <w:szCs w:val="32"/>
        </w:rPr>
        <w:t>、气瓶充装单位负责人及相关人员资格证（复印件）；</w:t>
      </w:r>
    </w:p>
    <w:p>
      <w:pPr>
        <w:widowControl/>
        <w:snapToGrid w:val="0"/>
        <w:spacing w:line="560" w:lineRule="exact"/>
        <w:ind w:firstLine="31680" w:firstLineChars="200"/>
        <w:jc w:val="left"/>
        <w:rPr>
          <w:rFonts w:eastAsia="仿宋_GB2312" w:cs="Arial"/>
          <w:kern w:val="0"/>
          <w:sz w:val="32"/>
          <w:szCs w:val="32"/>
        </w:rPr>
      </w:pPr>
      <w:r>
        <w:rPr>
          <w:rFonts w:eastAsia="仿宋_GB2312" w:cs="Arial"/>
          <w:kern w:val="0"/>
          <w:sz w:val="32"/>
          <w:szCs w:val="32"/>
        </w:rPr>
        <w:t>6</w:t>
      </w:r>
      <w:r>
        <w:rPr>
          <w:rFonts w:hint="eastAsia" w:hAnsi="仿宋" w:eastAsia="仿宋_GB2312" w:cs="Arial"/>
          <w:kern w:val="0"/>
          <w:sz w:val="32"/>
          <w:szCs w:val="32"/>
        </w:rPr>
        <w:t>、压力容器及安全阀、压力表、防雷及导静电设施检验（测试）报告（复印件）。</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（二）受理</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服务大厅接到书面申请后，应当在</w:t>
      </w:r>
      <w:r>
        <w:rPr>
          <w:rFonts w:eastAsia="仿宋_GB2312" w:cs="Arial"/>
          <w:kern w:val="0"/>
          <w:sz w:val="32"/>
          <w:szCs w:val="32"/>
        </w:rPr>
        <w:t>5</w:t>
      </w:r>
      <w:r>
        <w:rPr>
          <w:rFonts w:hint="eastAsia" w:hAnsi="仿宋" w:eastAsia="仿宋_GB2312" w:cs="Arial"/>
          <w:kern w:val="0"/>
          <w:sz w:val="32"/>
          <w:szCs w:val="32"/>
        </w:rPr>
        <w:t>个工作日做出是否受理其申请的决定，出具受理或不受理决定书，并在其申请书上签署受理或者不受理意见，返回申请单位。</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（三）鉴定评审</w:t>
      </w:r>
    </w:p>
    <w:p>
      <w:pPr>
        <w:tabs>
          <w:tab w:val="left" w:pos="1575"/>
        </w:tabs>
        <w:spacing w:line="560" w:lineRule="exact"/>
        <w:ind w:firstLine="31680" w:firstLineChars="200"/>
        <w:rPr>
          <w:rFonts w:eastAsia="仿宋_GB2312"/>
          <w:b/>
          <w:bCs/>
          <w:sz w:val="32"/>
          <w:szCs w:val="32"/>
        </w:rPr>
      </w:pPr>
      <w:r>
        <w:rPr>
          <w:rFonts w:eastAsia="仿宋_GB2312" w:cs="Arial"/>
          <w:kern w:val="0"/>
          <w:sz w:val="32"/>
          <w:szCs w:val="32"/>
        </w:rPr>
        <w:t xml:space="preserve"> </w:t>
      </w:r>
      <w:r>
        <w:rPr>
          <w:rFonts w:hint="eastAsia" w:hAnsi="仿宋" w:eastAsia="仿宋_GB2312"/>
          <w:sz w:val="32"/>
          <w:szCs w:val="32"/>
        </w:rPr>
        <w:t>申请被受理后，申请单位应当及时约请有资格的鉴定评审机构进行鉴定评审。鉴定评审（含必要的整改情况确认）工作应当自申请受理之日起</w:t>
      </w:r>
      <w:r>
        <w:rPr>
          <w:rFonts w:eastAsia="仿宋_GB2312"/>
          <w:sz w:val="32"/>
          <w:szCs w:val="32"/>
        </w:rPr>
        <w:t>1</w:t>
      </w:r>
      <w:r>
        <w:rPr>
          <w:rFonts w:hint="eastAsia" w:hAnsi="仿宋" w:eastAsia="仿宋_GB2312"/>
          <w:sz w:val="32"/>
          <w:szCs w:val="32"/>
        </w:rPr>
        <w:t>年内完成，申请换证、增项的，还应当在原许可证有效期届满</w:t>
      </w:r>
      <w:r>
        <w:rPr>
          <w:rFonts w:eastAsia="仿宋_GB2312"/>
          <w:sz w:val="32"/>
          <w:szCs w:val="32"/>
        </w:rPr>
        <w:t>30</w:t>
      </w:r>
      <w:r>
        <w:rPr>
          <w:rFonts w:hint="eastAsia" w:hAnsi="仿宋" w:eastAsia="仿宋_GB2312"/>
          <w:sz w:val="32"/>
          <w:szCs w:val="32"/>
        </w:rPr>
        <w:t>日前完成。逾期未完成的，本次受理终止。</w:t>
      </w:r>
    </w:p>
    <w:p>
      <w:pPr>
        <w:spacing w:line="560" w:lineRule="exact"/>
        <w:ind w:firstLine="31680" w:firstLineChars="200"/>
        <w:rPr>
          <w:rFonts w:eastAsia="仿宋_GB2312" w:cs="Arial"/>
          <w:kern w:val="0"/>
          <w:sz w:val="32"/>
          <w:szCs w:val="32"/>
        </w:rPr>
      </w:pPr>
      <w:r>
        <w:rPr>
          <w:rFonts w:hint="eastAsia" w:hAnsi="仿宋" w:eastAsia="仿宋_GB2312"/>
          <w:sz w:val="32"/>
          <w:szCs w:val="32"/>
        </w:rPr>
        <w:t>鉴定评审机构应当按照《许可规则》和《特种设备行政许可鉴定评审管理与监督规则》等的规定开展鉴定评审工作。鉴定评审结论意见为“符合条件”或者经过整</w:t>
      </w:r>
      <w:r>
        <w:rPr>
          <w:rFonts w:hint="eastAsia" w:hAnsi="仿宋" w:eastAsia="仿宋_GB2312" w:cs="Arial"/>
          <w:kern w:val="0"/>
          <w:sz w:val="32"/>
          <w:szCs w:val="32"/>
        </w:rPr>
        <w:t>改确认</w:t>
      </w:r>
      <w:r>
        <w:rPr>
          <w:rFonts w:hint="eastAsia" w:eastAsia="仿宋_GB2312" w:cs="Arial"/>
          <w:kern w:val="0"/>
          <w:sz w:val="32"/>
          <w:szCs w:val="32"/>
        </w:rPr>
        <w:t>“</w:t>
      </w:r>
      <w:r>
        <w:rPr>
          <w:rFonts w:hint="eastAsia" w:hAnsi="仿宋" w:eastAsia="仿宋_GB2312" w:cs="Arial"/>
          <w:kern w:val="0"/>
          <w:sz w:val="32"/>
          <w:szCs w:val="32"/>
        </w:rPr>
        <w:t>符合条件</w:t>
      </w:r>
      <w:r>
        <w:rPr>
          <w:rFonts w:hint="eastAsia" w:eastAsia="仿宋_GB2312" w:cs="Arial"/>
          <w:kern w:val="0"/>
          <w:sz w:val="32"/>
          <w:szCs w:val="32"/>
        </w:rPr>
        <w:t>”</w:t>
      </w:r>
      <w:r>
        <w:rPr>
          <w:rFonts w:hint="eastAsia" w:hAnsi="仿宋" w:eastAsia="仿宋_GB2312" w:cs="Arial"/>
          <w:kern w:val="0"/>
          <w:sz w:val="32"/>
          <w:szCs w:val="32"/>
        </w:rPr>
        <w:t>的，鉴定评审组应按照《鉴定评审规则》的规定及时出具《气瓶充装许可鉴定评审报告</w:t>
      </w:r>
      <w:r>
        <w:rPr>
          <w:rFonts w:hint="eastAsia" w:hAnsi="仿宋" w:eastAsia="仿宋_GB2312" w:cs="Arial"/>
          <w:kern w:val="0"/>
          <w:sz w:val="32"/>
          <w:szCs w:val="32"/>
          <w:lang w:eastAsia="zh-CN"/>
        </w:rPr>
        <w:t>》。</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（四）发证</w:t>
      </w:r>
    </w:p>
    <w:p>
      <w:pPr>
        <w:widowControl/>
        <w:snapToGrid w:val="0"/>
        <w:spacing w:line="560" w:lineRule="exact"/>
        <w:ind w:firstLine="31680" w:firstLineChars="200"/>
        <w:jc w:val="left"/>
        <w:rPr>
          <w:rFonts w:eastAsia="仿宋_GB2312" w:cs="Arial"/>
          <w:kern w:val="0"/>
          <w:sz w:val="32"/>
          <w:szCs w:val="32"/>
        </w:rPr>
      </w:pPr>
      <w:r>
        <w:rPr>
          <w:rFonts w:hint="eastAsia" w:hAnsi="仿宋" w:eastAsia="仿宋_GB2312" w:cs="Arial"/>
          <w:kern w:val="0"/>
          <w:sz w:val="32"/>
          <w:szCs w:val="32"/>
        </w:rPr>
        <w:t>发</w:t>
      </w:r>
      <w:bookmarkStart w:id="0" w:name="_GoBack"/>
      <w:bookmarkEnd w:id="0"/>
      <w:r>
        <w:rPr>
          <w:rFonts w:hint="eastAsia" w:hAnsi="仿宋" w:eastAsia="仿宋_GB2312" w:cs="Arial"/>
          <w:kern w:val="0"/>
          <w:sz w:val="32"/>
          <w:szCs w:val="32"/>
        </w:rPr>
        <w:t>证机关在接到鉴定评审报告后，应当在</w:t>
      </w:r>
      <w:r>
        <w:rPr>
          <w:rFonts w:eastAsia="仿宋_GB2312" w:cs="Arial"/>
          <w:kern w:val="0"/>
          <w:sz w:val="32"/>
          <w:szCs w:val="32"/>
        </w:rPr>
        <w:t>20</w:t>
      </w:r>
      <w:r>
        <w:rPr>
          <w:rFonts w:hint="eastAsia" w:hAnsi="仿宋" w:eastAsia="仿宋_GB2312" w:cs="Arial"/>
          <w:kern w:val="0"/>
          <w:sz w:val="32"/>
          <w:szCs w:val="32"/>
        </w:rPr>
        <w:t>个工作日内完成审查（办理科室签字）、批准（分管领导签字）手续，并在</w:t>
      </w:r>
      <w:r>
        <w:rPr>
          <w:rFonts w:eastAsia="仿宋_GB2312" w:cs="Arial"/>
          <w:kern w:val="0"/>
          <w:sz w:val="32"/>
          <w:szCs w:val="32"/>
        </w:rPr>
        <w:t>10</w:t>
      </w:r>
      <w:r>
        <w:rPr>
          <w:rFonts w:hint="eastAsia" w:hAnsi="仿宋" w:eastAsia="仿宋_GB2312" w:cs="Arial"/>
          <w:kern w:val="0"/>
          <w:sz w:val="32"/>
          <w:szCs w:val="32"/>
        </w:rPr>
        <w:t>个工作日内向符合规定条件要求的申请单位颁发《气瓶充装许可证》（申请单位政务大厅领取）。</w:t>
      </w:r>
      <w:r>
        <w:rPr>
          <w:rFonts w:eastAsia="仿宋_GB2312" w:cs="Arial"/>
          <w:kern w:val="0"/>
          <w:sz w:val="32"/>
          <w:szCs w:val="32"/>
        </w:rPr>
        <w:t xml:space="preserve"> </w:t>
      </w:r>
    </w:p>
    <w:p>
      <w:pPr>
        <w:spacing w:line="560" w:lineRule="exact"/>
        <w:ind w:firstLine="31680" w:firstLineChars="200"/>
        <w:rPr>
          <w:rFonts w:ascii="黑体" w:eastAsia="黑体" w:cs="Arial"/>
          <w:kern w:val="0"/>
          <w:sz w:val="32"/>
          <w:szCs w:val="32"/>
        </w:rPr>
      </w:pPr>
      <w:r>
        <w:rPr>
          <w:rFonts w:hint="eastAsia" w:ascii="黑体" w:eastAsia="黑体" w:cs="Arial"/>
          <w:kern w:val="0"/>
          <w:sz w:val="32"/>
          <w:szCs w:val="32"/>
        </w:rPr>
        <w:t>三、换证</w:t>
      </w:r>
    </w:p>
    <w:p>
      <w:pPr>
        <w:spacing w:line="560" w:lineRule="exact"/>
        <w:ind w:firstLine="31680" w:firstLineChars="200"/>
        <w:rPr>
          <w:rFonts w:eastAsia="仿宋_GB2312" w:cs="Arial"/>
          <w:kern w:val="0"/>
          <w:sz w:val="32"/>
          <w:szCs w:val="32"/>
        </w:rPr>
      </w:pPr>
      <w:r>
        <w:rPr>
          <w:rFonts w:hint="eastAsia" w:hAnsi="仿宋" w:eastAsia="仿宋_GB2312" w:cs="Arial"/>
          <w:kern w:val="0"/>
          <w:sz w:val="32"/>
          <w:szCs w:val="32"/>
        </w:rPr>
        <w:t>《气瓶充装许可证》有效期为</w:t>
      </w:r>
      <w:r>
        <w:rPr>
          <w:rFonts w:eastAsia="仿宋_GB2312" w:cs="Arial"/>
          <w:kern w:val="0"/>
          <w:sz w:val="32"/>
          <w:szCs w:val="32"/>
        </w:rPr>
        <w:t>4</w:t>
      </w:r>
      <w:r>
        <w:rPr>
          <w:rFonts w:hint="eastAsia" w:hAnsi="仿宋" w:eastAsia="仿宋_GB2312" w:cs="Arial"/>
          <w:kern w:val="0"/>
          <w:sz w:val="32"/>
          <w:szCs w:val="32"/>
        </w:rPr>
        <w:t>年。期满后充装单位需要继续从事充装活动的，应当在有效期届满</w:t>
      </w:r>
      <w:r>
        <w:rPr>
          <w:rFonts w:eastAsia="仿宋_GB2312" w:cs="Arial"/>
          <w:kern w:val="0"/>
          <w:sz w:val="32"/>
          <w:szCs w:val="32"/>
        </w:rPr>
        <w:t>6</w:t>
      </w:r>
      <w:r>
        <w:rPr>
          <w:rFonts w:hint="eastAsia" w:hAnsi="仿宋" w:eastAsia="仿宋_GB2312" w:cs="Arial"/>
          <w:kern w:val="0"/>
          <w:sz w:val="32"/>
          <w:szCs w:val="32"/>
        </w:rPr>
        <w:t>个月前按照《许可规则》的规定向许可实施机关提出换证申请。未在规定期限提出的，许可实施机关可不予受理其换证申请。</w:t>
      </w:r>
    </w:p>
    <w:p>
      <w:pPr>
        <w:spacing w:line="560" w:lineRule="exact"/>
        <w:ind w:firstLine="31680" w:firstLineChars="200"/>
        <w:rPr>
          <w:rFonts w:eastAsia="仿宋_GB2312" w:cs="Arial"/>
          <w:kern w:val="0"/>
          <w:sz w:val="32"/>
          <w:szCs w:val="32"/>
        </w:rPr>
      </w:pPr>
      <w:r>
        <w:rPr>
          <w:rFonts w:hint="eastAsia" w:hAnsi="仿宋" w:eastAsia="仿宋_GB2312" w:cs="Arial"/>
          <w:kern w:val="0"/>
          <w:sz w:val="32"/>
          <w:szCs w:val="32"/>
        </w:rPr>
        <w:t>充装单位因特殊原因不能按期换证需申请延长原许可期限的，应当在有效期届满</w:t>
      </w:r>
      <w:r>
        <w:rPr>
          <w:rFonts w:eastAsia="仿宋_GB2312" w:cs="Arial"/>
          <w:kern w:val="0"/>
          <w:sz w:val="32"/>
          <w:szCs w:val="32"/>
        </w:rPr>
        <w:t>30</w:t>
      </w:r>
      <w:r>
        <w:rPr>
          <w:rFonts w:hint="eastAsia" w:eastAsia="仿宋_GB2312" w:cs="Arial"/>
          <w:kern w:val="0"/>
          <w:sz w:val="32"/>
          <w:szCs w:val="32"/>
        </w:rPr>
        <w:t>日</w:t>
      </w:r>
      <w:r>
        <w:rPr>
          <w:rFonts w:hint="eastAsia" w:hAnsi="仿宋" w:eastAsia="仿宋_GB2312" w:cs="Arial"/>
          <w:kern w:val="0"/>
          <w:sz w:val="32"/>
          <w:szCs w:val="32"/>
        </w:rPr>
        <w:t>前告知许可实施机关，并在规定期限内办理申请手续。</w:t>
      </w:r>
    </w:p>
    <w:p>
      <w:pPr>
        <w:spacing w:line="560" w:lineRule="exact"/>
        <w:ind w:firstLine="31680" w:firstLineChars="200"/>
        <w:rPr>
          <w:rFonts w:ascii="黑体" w:eastAsia="黑体" w:cs="Arial"/>
          <w:kern w:val="0"/>
          <w:sz w:val="32"/>
          <w:szCs w:val="32"/>
        </w:rPr>
      </w:pPr>
      <w:r>
        <w:rPr>
          <w:rFonts w:hint="eastAsia" w:ascii="黑体" w:eastAsia="黑体" w:cs="Arial"/>
          <w:kern w:val="0"/>
          <w:sz w:val="32"/>
          <w:szCs w:val="32"/>
        </w:rPr>
        <w:t>四、</w:t>
      </w:r>
      <w:r>
        <w:rPr>
          <w:rFonts w:hint="eastAsia" w:ascii="黑体" w:hAnsi="仿宋" w:eastAsia="黑体"/>
          <w:sz w:val="32"/>
          <w:szCs w:val="32"/>
        </w:rPr>
        <w:t>变更</w:t>
      </w:r>
    </w:p>
    <w:p>
      <w:pPr>
        <w:spacing w:line="560" w:lineRule="exact"/>
        <w:ind w:firstLine="31680" w:firstLineChars="200"/>
        <w:rPr>
          <w:rFonts w:eastAsia="仿宋_GB2312"/>
          <w:sz w:val="32"/>
          <w:szCs w:val="32"/>
        </w:rPr>
      </w:pPr>
      <w:r>
        <w:rPr>
          <w:rFonts w:hint="eastAsia" w:hAnsi="仿宋" w:eastAsia="仿宋_GB2312"/>
          <w:sz w:val="32"/>
          <w:szCs w:val="32"/>
        </w:rPr>
        <w:t>充装单位的单位名称、充装地址或者充装范围发生变化的，应当向许可实施机关申请办理许可变更。其中变更单位名称或者充装地址信息的，应当自变更之日起</w:t>
      </w:r>
      <w:r>
        <w:rPr>
          <w:rFonts w:eastAsia="仿宋_GB2312"/>
          <w:sz w:val="32"/>
          <w:szCs w:val="32"/>
        </w:rPr>
        <w:t>30</w:t>
      </w:r>
      <w:r>
        <w:rPr>
          <w:rFonts w:hint="eastAsia" w:hAnsi="仿宋" w:eastAsia="仿宋_GB2312"/>
          <w:sz w:val="32"/>
          <w:szCs w:val="32"/>
        </w:rPr>
        <w:t>日内向许可实施机关提出书面申请；变更或者增加充装地址、充装许可项目的，应当按照关于申请充装许可的规定办理，且在获准变更前，不得超出原许可证批准的充装地址和充装许可范围从事充装活动。许可变更后，原许可证有效期不变。</w:t>
      </w:r>
    </w:p>
    <w:p>
      <w:pPr>
        <w:spacing w:line="560" w:lineRule="exact"/>
        <w:ind w:firstLine="31680" w:firstLineChars="200"/>
        <w:rPr>
          <w:rFonts w:eastAsia="仿宋_GB2312"/>
          <w:sz w:val="32"/>
          <w:szCs w:val="32"/>
        </w:rPr>
      </w:pPr>
      <w:r>
        <w:rPr>
          <w:rFonts w:hint="eastAsia" w:hAnsi="仿宋" w:eastAsia="仿宋_GB2312"/>
          <w:sz w:val="32"/>
          <w:szCs w:val="32"/>
        </w:rPr>
        <w:t>充装单位的法定代表人或者技术负责人变更的，应当自变更之日起</w:t>
      </w:r>
      <w:r>
        <w:rPr>
          <w:rFonts w:eastAsia="仿宋_GB2312"/>
          <w:sz w:val="32"/>
          <w:szCs w:val="32"/>
        </w:rPr>
        <w:t>15</w:t>
      </w:r>
      <w:r>
        <w:rPr>
          <w:rFonts w:hint="eastAsia" w:hAnsi="仿宋" w:eastAsia="仿宋_GB2312"/>
          <w:sz w:val="32"/>
          <w:szCs w:val="32"/>
        </w:rPr>
        <w:t>日内书面报许可实施机关备案。</w:t>
      </w:r>
    </w:p>
    <w:tbl>
      <w:tblPr>
        <w:tblStyle w:val="6"/>
        <w:tblW w:w="9750" w:type="dxa"/>
        <w:tblCellSpacing w:w="0" w:type="dxa"/>
        <w:tblInd w:w="2" w:type="dxa"/>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rHeight w:val="420" w:hRule="atLeast"/>
          <w:tblCellSpacing w:w="0" w:type="dxa"/>
        </w:trPr>
        <w:tc>
          <w:tcPr>
            <w:tcW w:w="9750" w:type="dxa"/>
            <w:shd w:val="clear" w:color="auto" w:fill="FFFFFF"/>
            <w:vAlign w:val="center"/>
          </w:tcPr>
          <w:p>
            <w:pPr>
              <w:widowControl/>
              <w:spacing w:line="560" w:lineRule="exact"/>
              <w:ind w:firstLine="31680" w:firstLineChars="200"/>
              <w:rPr>
                <w:rFonts w:eastAsia="仿宋_GB2312"/>
                <w:sz w:val="32"/>
                <w:szCs w:val="28"/>
              </w:rPr>
            </w:pPr>
          </w:p>
          <w:p>
            <w:pPr>
              <w:widowControl/>
              <w:spacing w:line="560" w:lineRule="exact"/>
              <w:rPr>
                <w:rFonts w:eastAsia="仿宋_GB2312" w:cs="宋体"/>
                <w:color w:val="131313"/>
                <w:kern w:val="0"/>
                <w:sz w:val="32"/>
                <w:szCs w:val="28"/>
              </w:rPr>
            </w:pPr>
          </w:p>
        </w:tc>
      </w:tr>
    </w:tbl>
    <w:p>
      <w:pPr>
        <w:widowControl/>
        <w:jc w:val="left"/>
        <w:rPr>
          <w:rFonts w:ascii="宋体" w:cs="宋体"/>
          <w:vanish/>
          <w:kern w:val="0"/>
          <w:sz w:val="28"/>
          <w:szCs w:val="28"/>
        </w:rPr>
      </w:pPr>
    </w:p>
    <w:p>
      <w:pPr>
        <w:rPr>
          <w:rFonts w:ascii="宋体"/>
          <w:sz w:val="32"/>
          <w:szCs w:val="32"/>
        </w:rPr>
      </w:pPr>
    </w:p>
    <w:sectPr>
      <w:pgSz w:w="11906" w:h="16838"/>
      <w:pgMar w:top="209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82A"/>
    <w:rsid w:val="00026599"/>
    <w:rsid w:val="00030E46"/>
    <w:rsid w:val="00041C1E"/>
    <w:rsid w:val="000F5C0E"/>
    <w:rsid w:val="00174C20"/>
    <w:rsid w:val="001D5263"/>
    <w:rsid w:val="001E5B05"/>
    <w:rsid w:val="0021126A"/>
    <w:rsid w:val="00277BD4"/>
    <w:rsid w:val="00430A3D"/>
    <w:rsid w:val="00564C39"/>
    <w:rsid w:val="00580D65"/>
    <w:rsid w:val="005E6BF1"/>
    <w:rsid w:val="006D64AA"/>
    <w:rsid w:val="007E4418"/>
    <w:rsid w:val="00832FFE"/>
    <w:rsid w:val="008827DE"/>
    <w:rsid w:val="00911E0F"/>
    <w:rsid w:val="00A11B37"/>
    <w:rsid w:val="00B81647"/>
    <w:rsid w:val="00BD3EF5"/>
    <w:rsid w:val="00C0177F"/>
    <w:rsid w:val="00C26DEC"/>
    <w:rsid w:val="00CC254C"/>
    <w:rsid w:val="00D6653E"/>
    <w:rsid w:val="00E55DFA"/>
    <w:rsid w:val="00ED7D57"/>
    <w:rsid w:val="00F92F6A"/>
    <w:rsid w:val="00FC75EB"/>
    <w:rsid w:val="00FF782A"/>
    <w:rsid w:val="06764AA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qFormat/>
    <w:locked/>
    <w:uiPriority w:val="99"/>
    <w:rPr>
      <w:rFonts w:cs="Times New Roman"/>
      <w:sz w:val="18"/>
      <w:szCs w:val="18"/>
    </w:rPr>
  </w:style>
  <w:style w:type="character" w:customStyle="1" w:styleId="8">
    <w:name w:val="Footer Char"/>
    <w:basedOn w:val="5"/>
    <w:link w:val="3"/>
    <w:qFormat/>
    <w:locked/>
    <w:uiPriority w:val="99"/>
    <w:rPr>
      <w:rFonts w:cs="Times New Roman"/>
      <w:sz w:val="18"/>
      <w:szCs w:val="18"/>
    </w:rPr>
  </w:style>
  <w:style w:type="character" w:customStyle="1" w:styleId="9">
    <w:name w:val="Balloon Text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246</Words>
  <Characters>1405</Characters>
  <Lines>0</Lines>
  <Paragraphs>0</Paragraphs>
  <TotalTime>0</TotalTime>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2016-03-16T00:23:00Z</dcterms:created>
  <dc:creator>sxr</dc:creator>
  <cp:lastModifiedBy>Administrator</cp:lastModifiedBy>
  <cp:lastPrinted>2016-03-15T08:22:00Z</cp:lastPrinted>
  <dcterms:modified xsi:type="dcterms:W3CDTF">2016-03-29T03:19:26Z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