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kern w:val="0"/>
          <w:sz w:val="36"/>
          <w:szCs w:val="36"/>
        </w:rPr>
      </w:pPr>
      <w:r>
        <w:rPr>
          <w:rFonts w:hint="eastAsia" w:ascii="方正小标宋简体" w:hAnsi="方正小标宋简体" w:eastAsia="方正小标宋简体" w:cs="方正小标宋简体"/>
          <w:bCs/>
          <w:sz w:val="36"/>
          <w:szCs w:val="36"/>
        </w:rPr>
        <w:t>2017年度部门政务公开工作统计表（食药监局）</w:t>
      </w:r>
    </w:p>
    <w:tbl>
      <w:tblPr>
        <w:tblStyle w:val="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6550"/>
        <w:gridCol w:w="77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25" w:type="dxa"/>
            <w:tcBorders>
              <w:top w:val="single" w:color="auto" w:sz="4" w:space="0"/>
              <w:left w:val="single" w:color="auto" w:sz="4" w:space="0"/>
              <w:bottom w:val="single" w:color="auto" w:sz="4" w:space="0"/>
              <w:right w:val="single" w:color="auto" w:sz="4" w:space="0"/>
            </w:tcBorders>
          </w:tcPr>
          <w:p>
            <w:pPr>
              <w:autoSpaceDN w:val="0"/>
              <w:jc w:val="center"/>
              <w:textAlignment w:val="bottom"/>
              <w:rPr>
                <w:rFonts w:ascii="宋体" w:hAnsi="宋体"/>
                <w:b/>
                <w:bCs/>
                <w:color w:val="000000"/>
                <w:sz w:val="20"/>
              </w:rPr>
            </w:pPr>
            <w:r>
              <w:rPr>
                <w:rFonts w:hint="eastAsia" w:ascii="宋体" w:hAnsi="宋体"/>
                <w:b/>
                <w:bCs/>
                <w:color w:val="000000"/>
                <w:sz w:val="20"/>
              </w:rPr>
              <w:t>序号</w:t>
            </w:r>
          </w:p>
        </w:tc>
        <w:tc>
          <w:tcPr>
            <w:tcW w:w="6550" w:type="dxa"/>
            <w:tcBorders>
              <w:top w:val="single" w:color="auto" w:sz="4" w:space="0"/>
              <w:left w:val="single" w:color="auto" w:sz="4" w:space="0"/>
              <w:bottom w:val="single" w:color="auto" w:sz="4" w:space="0"/>
              <w:right w:val="single" w:color="auto" w:sz="4" w:space="0"/>
            </w:tcBorders>
          </w:tcPr>
          <w:p>
            <w:pPr>
              <w:autoSpaceDN w:val="0"/>
              <w:jc w:val="center"/>
              <w:textAlignment w:val="bottom"/>
              <w:rPr>
                <w:rFonts w:ascii="宋体" w:hAnsi="宋体"/>
                <w:b/>
                <w:bCs/>
                <w:color w:val="000000"/>
                <w:sz w:val="20"/>
              </w:rPr>
            </w:pPr>
            <w:r>
              <w:rPr>
                <w:rFonts w:hint="eastAsia" w:ascii="宋体" w:hAnsi="宋体"/>
                <w:b/>
                <w:bCs/>
                <w:color w:val="000000"/>
                <w:sz w:val="20"/>
              </w:rPr>
              <w:t>统 计 指 标</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b/>
                <w:bCs/>
                <w:color w:val="000000"/>
                <w:sz w:val="20"/>
              </w:rPr>
            </w:pPr>
            <w:r>
              <w:rPr>
                <w:rFonts w:hint="eastAsia" w:ascii="宋体" w:hAnsi="宋体"/>
                <w:b/>
                <w:bCs/>
                <w:color w:val="000000"/>
                <w:sz w:val="20"/>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b/>
                <w:bCs/>
              </w:rPr>
            </w:pPr>
            <w:r>
              <w:rPr>
                <w:rFonts w:hint="eastAsia" w:ascii="宋体" w:hAnsi="宋体"/>
                <w:b/>
                <w:bCs/>
                <w:color w:val="000000"/>
                <w:sz w:val="20"/>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一、主动公开情况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（一）主动公开政府信息总数（不同渠道发相同信息计1条）</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其中，规范性文件数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制发规范性文件总数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（二）通过不同渠道和方式发布的政府信息情况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1.在本部门门户网站公开政府信息数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2.政务微博公开政府信息数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3.政务微信公开政府信息数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4.其他方式公开政府信息数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二、回应解读情况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（一）回应公众关注热点或重大舆情数（不同方式回应同一热点或舆情计1次）</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（二）通过不同渠道和方式回应解读的情况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1.参加或举办新闻发布会次数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其中，主要负责同志参加新闻发布会次数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2.政府网站在线访谈或电视问政访谈数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其中，主要负责同志参加在线访谈或电视问政访谈数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3.政策解读稿件发布数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篇</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4.微博微信回应事件数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19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5.其它方式回应事件数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三、依申请公开情况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（一）收到申请数</w:t>
            </w:r>
            <w:bookmarkStart w:id="0" w:name="_GoBack"/>
            <w:bookmarkEnd w:id="0"/>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1.当面申请数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2.传真申请数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3.网络申请数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4.信函申请数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（二）申请办结数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1.按时办结数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2.延期办结数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29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（三）答复申请数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1.属于已主动公开范围数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2.同意公开答复数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3.同意部分公开答复数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4.不同意公开答复数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其中，涉及国家秘密</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涉及商业秘密</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涉及个人隐私</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危及国家安全、公共安全、经济安全和社会稳定</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不是《政府信息公开条例》所指应公开的政府信息</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39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法律法规规定的其他情形</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5.不属于本行政机关公开数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6.申请信息不存在数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7.告知作出更改补充数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8.告知通过其它途径办理数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四、行政复议数量</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（一）维持具体行政行为数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（二）被依法纠错数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（三）其它情形数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五、行政诉讼数量</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49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（一）维持具体行政行为或者驳回原告诉讼请求数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（二）被依法纠错数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（三）其它情形数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b/>
                <w:bCs/>
                <w:color w:val="000000"/>
                <w:sz w:val="20"/>
              </w:rPr>
            </w:pPr>
            <w:r>
              <w:rPr>
                <w:rFonts w:hint="eastAsia" w:ascii="宋体" w:hAnsi="宋体"/>
                <w:b/>
                <w:bCs/>
                <w:color w:val="000000"/>
                <w:sz w:val="20"/>
              </w:rPr>
              <w:t>六、举报投诉数量</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件</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b/>
                <w:bCs/>
                <w:color w:val="000000"/>
                <w:sz w:val="20"/>
              </w:rPr>
            </w:pPr>
            <w:r>
              <w:rPr>
                <w:rFonts w:hint="eastAsia" w:ascii="宋体" w:hAnsi="宋体"/>
                <w:b/>
                <w:bCs/>
                <w:color w:val="000000"/>
                <w:sz w:val="20"/>
              </w:rPr>
              <w:t>七、依申请公开信息收取的费用</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万元</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八、机构建设和保障经费情况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（一）政务公开工作专门机构数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个</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（二）设置政府信息公开查阅点数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个</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（三）从事政务公开工作人员数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人</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1.专职人员数（不包括政府公报及政府门户网站工作人员数）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人</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59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 xml:space="preserve">      2.兼职人员数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人</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（四）政务公开专项经费（不包括用于政府公报编辑管理及政府门户网站建设维护等其它方面的经费）</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万元</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61</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九、政务公开会议和培训情况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62</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（一）召开政务公开工作会议或专题会议数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63</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（二）举办各类培训班</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64</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（三）接受培训人数</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宋体" w:hAnsi="宋体"/>
                <w:color w:val="000000"/>
                <w:sz w:val="20"/>
              </w:rPr>
              <w:t>人次</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65</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b/>
                <w:bCs/>
                <w:color w:val="000000"/>
                <w:sz w:val="20"/>
              </w:rPr>
              <w:t>十、部门设立实体、网上办事大厅情况</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66</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（一）是否设立实体办事大厅</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是/否</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67</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（二）实体办事大厅办理事项内容（可附页说明）</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详见附页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68</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（三）是否与监察系统联网</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是/否</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69</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（四）部门网站是否具备网上办事功能</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r>
              <w:rPr>
                <w:rFonts w:hint="eastAsia" w:asciiTheme="minorEastAsia" w:hAnsiTheme="minorEastAsia"/>
                <w:color w:val="000000"/>
                <w:sz w:val="20"/>
                <w:szCs w:val="20"/>
              </w:rPr>
              <w:t>是/否</w:t>
            </w: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5" w:type="dxa"/>
            <w:tcBorders>
              <w:top w:val="single" w:color="auto" w:sz="4" w:space="0"/>
              <w:left w:val="single" w:color="auto" w:sz="4" w:space="0"/>
              <w:bottom w:val="single" w:color="auto" w:sz="4" w:space="0"/>
              <w:right w:val="single" w:color="auto" w:sz="4" w:space="0"/>
            </w:tcBorders>
            <w:vAlign w:val="bottom"/>
          </w:tcPr>
          <w:p>
            <w:pPr>
              <w:autoSpaceDN w:val="0"/>
              <w:jc w:val="center"/>
              <w:textAlignment w:val="bottom"/>
              <w:rPr>
                <w:rFonts w:ascii="宋体" w:hAnsi="宋体"/>
                <w:color w:val="000000"/>
                <w:sz w:val="20"/>
              </w:rPr>
            </w:pPr>
            <w:r>
              <w:rPr>
                <w:rFonts w:hint="eastAsia" w:ascii="宋体" w:hAnsi="宋体"/>
                <w:color w:val="000000"/>
                <w:sz w:val="20"/>
              </w:rPr>
              <w:t>70</w:t>
            </w:r>
          </w:p>
        </w:tc>
        <w:tc>
          <w:tcPr>
            <w:tcW w:w="6550" w:type="dxa"/>
            <w:tcBorders>
              <w:top w:val="single" w:color="auto" w:sz="4" w:space="0"/>
              <w:left w:val="single" w:color="auto" w:sz="4" w:space="0"/>
              <w:bottom w:val="single" w:color="auto" w:sz="4" w:space="0"/>
              <w:right w:val="single" w:color="auto" w:sz="4" w:space="0"/>
            </w:tcBorders>
          </w:tcPr>
          <w:p>
            <w:pPr>
              <w:autoSpaceDN w:val="0"/>
              <w:textAlignment w:val="bottom"/>
              <w:rPr>
                <w:rFonts w:ascii="宋体" w:hAnsi="宋体"/>
                <w:color w:val="000000"/>
                <w:sz w:val="20"/>
              </w:rPr>
            </w:pPr>
            <w:r>
              <w:rPr>
                <w:rFonts w:hint="eastAsia" w:ascii="宋体" w:hAnsi="宋体"/>
                <w:color w:val="000000"/>
                <w:sz w:val="20"/>
              </w:rPr>
              <w:t>（五）网上办理事项内容</w:t>
            </w:r>
          </w:p>
        </w:tc>
        <w:tc>
          <w:tcPr>
            <w:tcW w:w="775"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rPr>
                <w:rFonts w:ascii="宋体" w:hAnsi="宋体"/>
                <w:color w:val="000000"/>
                <w:sz w:val="20"/>
              </w:rPr>
            </w:pPr>
          </w:p>
        </w:tc>
        <w:tc>
          <w:tcPr>
            <w:tcW w:w="1112"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bottom"/>
            </w:pPr>
            <w:r>
              <w:rPr>
                <w:rFonts w:hint="eastAsia"/>
              </w:rPr>
              <w:t>详见附页</w:t>
            </w:r>
          </w:p>
        </w:tc>
      </w:tr>
    </w:tbl>
    <w:p>
      <w:pPr>
        <w:autoSpaceDN w:val="0"/>
        <w:textAlignment w:val="bottom"/>
        <w:rPr>
          <w:rFonts w:asciiTheme="minorEastAsia" w:hAnsiTheme="minorEastAsia"/>
          <w:bCs/>
          <w:sz w:val="20"/>
          <w:szCs w:val="20"/>
        </w:rPr>
      </w:pPr>
      <w:r>
        <w:rPr>
          <w:rFonts w:hint="eastAsia" w:asciiTheme="minorEastAsia" w:hAnsiTheme="minorEastAsia"/>
          <w:color w:val="000000"/>
          <w:sz w:val="20"/>
          <w:szCs w:val="20"/>
        </w:rPr>
        <w:t>注：《政府信息公开情况统计指标填报说明》详见“鄂尔多斯政务公开”QQ工作群（</w:t>
      </w:r>
      <w:r>
        <w:rPr>
          <w:rFonts w:asciiTheme="minorEastAsia" w:hAnsiTheme="minorEastAsia"/>
          <w:color w:val="000000"/>
          <w:sz w:val="20"/>
          <w:szCs w:val="20"/>
        </w:rPr>
        <w:t>14668146</w:t>
      </w:r>
      <w:r>
        <w:rPr>
          <w:rFonts w:hint="eastAsia" w:asciiTheme="minorEastAsia" w:hAnsiTheme="minorEastAsia"/>
          <w:color w:val="000000"/>
          <w:sz w:val="20"/>
          <w:szCs w:val="20"/>
        </w:rPr>
        <w:t>）共享文件。</w:t>
      </w:r>
    </w:p>
    <w:p>
      <w:pPr>
        <w:autoSpaceDN w:val="0"/>
        <w:textAlignment w:val="bottom"/>
        <w:rPr>
          <w:rFonts w:asciiTheme="minorEastAsia" w:hAnsiTheme="minorEastAsia"/>
          <w:color w:val="000000"/>
          <w:sz w:val="20"/>
          <w:szCs w:val="20"/>
        </w:rPr>
      </w:pPr>
    </w:p>
    <w:p/>
    <w:p/>
    <w:p/>
    <w:p/>
    <w:p/>
    <w:p/>
    <w:p/>
    <w:p>
      <w:pPr>
        <w:rPr>
          <w:rFonts w:ascii="仿宋" w:hAnsi="仿宋" w:eastAsia="仿宋"/>
          <w:color w:val="000000"/>
          <w:sz w:val="32"/>
          <w:szCs w:val="32"/>
        </w:rPr>
      </w:pPr>
      <w:r>
        <w:rPr>
          <w:rFonts w:hint="eastAsia" w:ascii="仿宋" w:hAnsi="仿宋" w:eastAsia="仿宋"/>
          <w:b/>
          <w:color w:val="000000"/>
          <w:sz w:val="32"/>
          <w:szCs w:val="32"/>
        </w:rPr>
        <w:t>1、实体办事大厅办理事项内容：</w:t>
      </w:r>
      <w:r>
        <w:rPr>
          <w:rFonts w:hint="eastAsia" w:ascii="仿宋" w:hAnsi="仿宋" w:eastAsia="仿宋"/>
          <w:color w:val="000000"/>
          <w:sz w:val="32"/>
          <w:szCs w:val="32"/>
        </w:rPr>
        <w:t>药品经营许可、</w:t>
      </w:r>
      <w:r>
        <w:rPr>
          <w:rFonts w:ascii="仿宋" w:hAnsi="仿宋" w:eastAsia="仿宋"/>
          <w:color w:val="000000"/>
          <w:sz w:val="32"/>
          <w:szCs w:val="32"/>
        </w:rPr>
        <w:t>药品零售连锁（总部）、药品批发经营许可事项变更（注册地址、仓库地址、企业法定代表人或企业负责人、质量负责人）</w:t>
      </w:r>
      <w:r>
        <w:rPr>
          <w:rFonts w:hint="eastAsia" w:ascii="仿宋" w:hAnsi="仿宋" w:eastAsia="仿宋"/>
          <w:color w:val="000000"/>
          <w:sz w:val="32"/>
          <w:szCs w:val="32"/>
        </w:rPr>
        <w:t>、药品零售企业《药品经营许可证》注销、药品零售企业《药品经营许可证》换发、药品零售企业《药品经营许可证》核发、药品经营质量管理规范（GSP）认证、对药品零售企业药品经营质量管理规范（GSP）认证的审批、药品经营质量管理规范认证（批发、连锁总部）企业名称、注册地址和仓库地址变更、三类医疗器械经营许可、三类医疗器械《医疗器械经营许可证》核发、对专门从事第二类精神药品批发业务的企业资格的审批、对医疗机构制剂补充申请部分注册事项的许可、对盟市范围内医疗机构蒙药制剂调剂使用的许可、对食品生产的许可、食品生产许可证延续、补办、变更、注销、核发、三类《医疗器械经营许可证》变更（许可事项和登记事项）、注销、食品经营许可、《食品经营许可证》申请、变更、延续、注销、药品经营质量管理规范（GSP）认证证书撤销。</w:t>
      </w:r>
    </w:p>
    <w:p>
      <w:pPr>
        <w:rPr>
          <w:rFonts w:ascii="仿宋" w:hAnsi="仿宋" w:eastAsia="仿宋"/>
          <w:sz w:val="32"/>
          <w:szCs w:val="32"/>
        </w:rPr>
      </w:pPr>
      <w:r>
        <w:rPr>
          <w:rFonts w:hint="eastAsia" w:ascii="仿宋" w:hAnsi="仿宋" w:eastAsia="仿宋"/>
          <w:b/>
          <w:color w:val="000000"/>
          <w:sz w:val="32"/>
          <w:szCs w:val="32"/>
        </w:rPr>
        <w:t>2、网上办理事项内容：</w:t>
      </w:r>
      <w:r>
        <w:rPr>
          <w:rFonts w:hint="eastAsia" w:ascii="仿宋" w:hAnsi="仿宋" w:eastAsia="仿宋"/>
          <w:color w:val="000000"/>
          <w:sz w:val="32"/>
          <w:szCs w:val="32"/>
        </w:rPr>
        <w:t>药品经营许可证的申办及变更、换发，GSP证书的申办及变更。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A6"/>
    <w:rsid w:val="001C342E"/>
    <w:rsid w:val="00311BF1"/>
    <w:rsid w:val="00313485"/>
    <w:rsid w:val="003C5A70"/>
    <w:rsid w:val="00520AA6"/>
    <w:rsid w:val="005A0E31"/>
    <w:rsid w:val="00704A1C"/>
    <w:rsid w:val="007C6369"/>
    <w:rsid w:val="007E29E1"/>
    <w:rsid w:val="00C70491"/>
    <w:rsid w:val="00EA4C8D"/>
    <w:rsid w:val="00F02C68"/>
    <w:rsid w:val="198A70B9"/>
    <w:rsid w:val="5DC64C3A"/>
    <w:rsid w:val="76365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360</Words>
  <Characters>2055</Characters>
  <Lines>17</Lines>
  <Paragraphs>4</Paragraphs>
  <ScaleCrop>false</ScaleCrop>
  <LinksUpToDate>false</LinksUpToDate>
  <CharactersWithSpaces>2411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2018-01-12T02:32:00Z</dcterms:created>
  <dc:creator>鄂尔多斯市食品药品监督管理局</dc:creator>
  <cp:lastModifiedBy>全</cp:lastModifiedBy>
  <cp:lastPrinted>2018-03-21T08:10:46Z</cp:lastPrinted>
  <dcterms:modified xsi:type="dcterms:W3CDTF">2018-03-21T08:18:43Z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