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ind w:left="0" w:right="0" w:firstLine="601"/>
        <w:jc w:val="center"/>
        <w:rPr>
          <w:rFonts w:ascii="仿宋_GB2312" w:eastAsia="仿宋_GB2312" w:cs="仿宋_GB2312"/>
          <w:b/>
          <w:color w:val="auto"/>
          <w:kern w:val="2"/>
          <w:sz w:val="44"/>
          <w:szCs w:val="44"/>
        </w:rPr>
      </w:pPr>
    </w:p>
    <w:p>
      <w:pPr>
        <w:keepNext w:val="0"/>
        <w:keepLines w:val="0"/>
        <w:widowControl/>
        <w:suppressLineNumbers w:val="0"/>
        <w:spacing w:before="0" w:beforeLines="0" w:beforeAutospacing="0" w:after="0" w:afterLines="0" w:afterAutospacing="0"/>
        <w:ind w:left="0" w:right="0" w:firstLine="601"/>
        <w:jc w:val="center"/>
        <w:rPr>
          <w:rFonts w:ascii="仿宋_GB2312" w:eastAsia="仿宋_GB2312" w:cs="仿宋_GB2312"/>
          <w:b/>
          <w:color w:val="auto"/>
          <w:kern w:val="2"/>
          <w:sz w:val="44"/>
          <w:szCs w:val="44"/>
        </w:rPr>
      </w:pPr>
    </w:p>
    <w:p>
      <w:pPr>
        <w:keepNext w:val="0"/>
        <w:keepLines w:val="0"/>
        <w:widowControl/>
        <w:suppressLineNumbers w:val="0"/>
        <w:spacing w:before="0" w:beforeLines="0" w:beforeAutospacing="0" w:after="0" w:afterLines="0" w:afterAutospacing="0"/>
        <w:ind w:left="0" w:right="0" w:firstLine="601"/>
        <w:jc w:val="center"/>
        <w:rPr>
          <w:rFonts w:ascii="仿宋_GB2312" w:eastAsia="仿宋_GB2312" w:cs="仿宋_GB2312"/>
          <w:b/>
          <w:color w:val="auto"/>
          <w:kern w:val="2"/>
          <w:sz w:val="44"/>
          <w:szCs w:val="44"/>
        </w:rPr>
      </w:pPr>
    </w:p>
    <w:p>
      <w:pPr>
        <w:keepNext w:val="0"/>
        <w:keepLines w:val="0"/>
        <w:widowControl/>
        <w:suppressLineNumbers w:val="0"/>
        <w:spacing w:before="0" w:beforeLines="0" w:beforeAutospacing="0" w:after="0" w:afterLines="0" w:afterAutospacing="0"/>
        <w:ind w:left="0" w:right="0" w:firstLine="601"/>
        <w:jc w:val="center"/>
        <w:rPr>
          <w:rFonts w:ascii="仿宋_GB2312" w:eastAsia="仿宋_GB2312" w:cs="仿宋_GB2312"/>
          <w:b/>
          <w:color w:val="auto"/>
          <w:kern w:val="2"/>
          <w:sz w:val="44"/>
          <w:szCs w:val="44"/>
        </w:rPr>
      </w:pPr>
    </w:p>
    <w:p>
      <w:pPr>
        <w:keepNext w:val="0"/>
        <w:keepLines w:val="0"/>
        <w:widowControl/>
        <w:suppressLineNumbers w:val="0"/>
        <w:spacing w:before="0" w:beforeLines="0" w:beforeAutospacing="0" w:after="0" w:afterLines="0" w:afterAutospacing="0"/>
        <w:ind w:left="0" w:right="0" w:firstLine="601"/>
        <w:jc w:val="center"/>
        <w:rPr>
          <w:rFonts w:ascii="仿宋_GB2312" w:eastAsia="仿宋_GB2312" w:cs="仿宋_GB2312"/>
          <w:b/>
          <w:color w:val="auto"/>
          <w:kern w:val="2"/>
          <w:sz w:val="44"/>
          <w:szCs w:val="44"/>
        </w:rPr>
      </w:pPr>
    </w:p>
    <w:p>
      <w:pPr>
        <w:keepNext w:val="0"/>
        <w:keepLines w:val="0"/>
        <w:widowControl/>
        <w:suppressLineNumbers w:val="0"/>
        <w:spacing w:before="0" w:beforeLines="0" w:beforeAutospacing="0" w:after="0" w:afterLines="0" w:afterAutospacing="0"/>
        <w:ind w:left="0" w:right="0" w:firstLine="601"/>
        <w:jc w:val="center"/>
        <w:rPr>
          <w:rFonts w:ascii="仿宋_GB2312" w:eastAsia="仿宋_GB2312" w:cs="仿宋_GB2312"/>
          <w:b/>
          <w:color w:val="auto"/>
          <w:kern w:val="2"/>
          <w:sz w:val="44"/>
          <w:szCs w:val="44"/>
        </w:rPr>
      </w:pPr>
    </w:p>
    <w:p>
      <w:pPr>
        <w:keepNext w:val="0"/>
        <w:keepLines w:val="0"/>
        <w:widowControl/>
        <w:suppressLineNumbers w:val="0"/>
        <w:spacing w:before="0" w:beforeLines="0" w:beforeAutospacing="0" w:after="0" w:afterLines="0" w:afterAutospacing="0"/>
        <w:ind w:left="0" w:right="0" w:firstLine="601"/>
        <w:jc w:val="center"/>
        <w:rPr>
          <w:rFonts w:hint="default" w:ascii="Times New Roman" w:hAnsi="Times New Roman" w:cs="Times New Roman"/>
          <w:b/>
          <w:color w:val="auto"/>
          <w:kern w:val="2"/>
          <w:sz w:val="44"/>
          <w:szCs w:val="44"/>
        </w:rPr>
      </w:pPr>
      <w:r>
        <w:rPr>
          <w:rFonts w:ascii="仿宋_GB2312" w:eastAsia="仿宋_GB2312" w:cs="仿宋_GB2312"/>
          <w:b/>
          <w:color w:val="auto"/>
          <w:kern w:val="2"/>
          <w:sz w:val="44"/>
          <w:szCs w:val="44"/>
        </w:rPr>
        <w:t>内蒙古自治区鄂尔多斯市消费者协会</w:t>
      </w:r>
    </w:p>
    <w:p>
      <w:pPr>
        <w:keepNext w:val="0"/>
        <w:keepLines w:val="0"/>
        <w:widowControl/>
        <w:suppressLineNumbers w:val="0"/>
        <w:spacing w:before="0" w:beforeLines="0" w:beforeAutospacing="0" w:after="0" w:afterLines="0" w:afterAutospacing="0"/>
        <w:ind w:left="0" w:right="0" w:firstLine="601"/>
        <w:jc w:val="center"/>
        <w:rPr>
          <w:rFonts w:hint="default" w:ascii="Times New Roman" w:hAnsi="Times New Roman" w:cs="Times New Roman"/>
          <w:b/>
          <w:color w:val="auto"/>
          <w:kern w:val="2"/>
          <w:sz w:val="44"/>
          <w:szCs w:val="44"/>
        </w:rPr>
      </w:pPr>
      <w:r>
        <w:rPr>
          <w:rFonts w:hint="eastAsia" w:ascii="仿宋_GB2312" w:eastAsia="仿宋_GB2312" w:cs="仿宋_GB2312"/>
          <w:b/>
          <w:color w:val="auto"/>
          <w:kern w:val="2"/>
          <w:sz w:val="44"/>
          <w:szCs w:val="44"/>
        </w:rPr>
        <w:t>2019年度决算公开报告</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line="580" w:lineRule="exact"/>
        <w:ind w:left="0" w:right="0" w:firstLine="600"/>
        <w:jc w:val="center"/>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ind w:left="0" w:right="0" w:firstLine="601"/>
        <w:jc w:val="left"/>
        <w:rPr>
          <w:rFonts w:hint="default" w:ascii="Times New Roman" w:hAnsi="Times New Roman" w:cs="Times New Roman"/>
          <w:b/>
          <w:color w:val="auto"/>
          <w:kern w:val="2"/>
          <w:sz w:val="44"/>
          <w:szCs w:val="44"/>
        </w:rPr>
      </w:pPr>
      <w:r>
        <w:rPr>
          <w:rFonts w:hint="default" w:ascii="Times New Roman" w:hAnsi="Times New Roman" w:cs="Times New Roman"/>
          <w:b/>
          <w:color w:val="auto"/>
          <w:kern w:val="2"/>
          <w:sz w:val="44"/>
          <w:szCs w:val="44"/>
        </w:rPr>
        <w:t xml:space="preserve"> </w:t>
      </w:r>
    </w:p>
    <w:p>
      <w:pPr>
        <w:keepNext w:val="0"/>
        <w:keepLines w:val="0"/>
        <w:widowControl/>
        <w:suppressLineNumbers w:val="0"/>
        <w:spacing w:before="0" w:beforeLines="0" w:beforeAutospacing="0" w:after="0" w:afterLines="0" w:afterAutospacing="0"/>
        <w:ind w:left="0" w:right="0" w:firstLine="601"/>
        <w:jc w:val="center"/>
        <w:rPr>
          <w:rFonts w:hint="default" w:ascii="Times New Roman" w:hAnsi="Times New Roman" w:cs="Times New Roman"/>
          <w:b/>
          <w:color w:val="auto"/>
          <w:kern w:val="2"/>
          <w:sz w:val="44"/>
          <w:szCs w:val="44"/>
        </w:rPr>
      </w:pPr>
      <w:r>
        <w:rPr>
          <w:rFonts w:hint="eastAsia" w:ascii="仿宋_GB2312" w:eastAsia="仿宋_GB2312" w:cs="仿宋_GB2312"/>
          <w:b/>
          <w:color w:val="auto"/>
          <w:kern w:val="2"/>
          <w:sz w:val="44"/>
          <w:szCs w:val="44"/>
        </w:rPr>
        <w:t>目录</w:t>
      </w:r>
    </w:p>
    <w:p>
      <w:pPr>
        <w:keepNext w:val="0"/>
        <w:keepLines w:val="0"/>
        <w:widowControl/>
        <w:suppressLineNumbers w:val="0"/>
        <w:spacing w:before="0" w:beforeLines="0" w:beforeAutospacing="0" w:after="0" w:afterLines="0" w:afterAutospacing="0"/>
        <w:ind w:left="0" w:right="0" w:firstLine="601"/>
        <w:jc w:val="left"/>
        <w:rPr>
          <w:rFonts w:hint="default" w:ascii="Times New Roman" w:hAnsi="Times New Roman" w:cs="Times New Roman"/>
          <w:b/>
          <w:color w:val="auto"/>
          <w:kern w:val="2"/>
          <w:sz w:val="44"/>
          <w:szCs w:val="44"/>
        </w:rPr>
      </w:pPr>
      <w:r>
        <w:rPr>
          <w:rFonts w:hint="default" w:ascii="Times New Roman" w:hAnsi="Times New Roman" w:cs="Times New Roman"/>
          <w:b/>
          <w:color w:val="auto"/>
          <w:kern w:val="2"/>
          <w:sz w:val="44"/>
          <w:szCs w:val="44"/>
        </w:rPr>
        <w:t xml:space="preserve"> </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b/>
          <w:color w:val="auto"/>
          <w:kern w:val="2"/>
          <w:sz w:val="32"/>
          <w:szCs w:val="32"/>
        </w:rPr>
      </w:pPr>
      <w:r>
        <w:rPr>
          <w:rFonts w:ascii="黑体" w:hAnsi="宋体" w:eastAsia="黑体" w:cs="黑体"/>
          <w:b/>
          <w:color w:val="auto"/>
          <w:kern w:val="2"/>
          <w:sz w:val="32"/>
          <w:szCs w:val="32"/>
        </w:rPr>
        <w:t>第一部分</w:t>
      </w:r>
      <w:r>
        <w:rPr>
          <w:rFonts w:hint="eastAsia" w:ascii="黑体" w:hAnsi="宋体" w:eastAsia="黑体" w:cs="黑体"/>
          <w:b/>
          <w:color w:val="auto"/>
          <w:kern w:val="2"/>
          <w:sz w:val="32"/>
          <w:szCs w:val="32"/>
        </w:rPr>
        <w:t xml:space="preserve"> 部门基本情况</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一、部门职责</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二、机构设置</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b/>
          <w:color w:val="auto"/>
          <w:kern w:val="2"/>
          <w:sz w:val="32"/>
          <w:szCs w:val="32"/>
        </w:rPr>
      </w:pPr>
      <w:r>
        <w:rPr>
          <w:rFonts w:hint="eastAsia" w:ascii="黑体" w:hAnsi="宋体" w:eastAsia="黑体" w:cs="黑体"/>
          <w:b/>
          <w:color w:val="auto"/>
          <w:kern w:val="2"/>
          <w:sz w:val="32"/>
          <w:szCs w:val="32"/>
        </w:rPr>
        <w:t>第二部分 2019年度部门决算情况说明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一、关于2019年度预算执行情况分析</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二、关于2019年度决算情况说明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（一）关于收支情况总体说明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（二）关于2019年度收入决算情况说明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（三）关于2019年度支出决算情况说明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（四）关于2019年度财政拨款收入支出决算总体情况说明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（五）关于2019年度一般公共预算财政拨款支出决算情况说明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（六）关于2019年度一般公共预算财政拨款基本支出决算情况说明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（七）关于2019年度财政拨款</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经费支出决算情况说明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1、财政拨款</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经费支出决算总体情况说明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2、财政拨款</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经费支出决算具体情况说明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（八）关于2019年度政府性预算财政拨款支出决算情况说明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三、预算绩效情况说明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（一）预算绩效管理工作开展情况</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（二）部门决算中项目绩效自评结果</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四、其他重要事项的情况说明</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（一）机关运行经费支出情况</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（二）政府采购支出情况</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（三）国有资产占用情况</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 xml:space="preserve"> </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b/>
          <w:color w:val="auto"/>
          <w:kern w:val="2"/>
          <w:sz w:val="32"/>
          <w:szCs w:val="32"/>
        </w:rPr>
      </w:pPr>
      <w:r>
        <w:rPr>
          <w:rFonts w:hint="eastAsia" w:ascii="黑体" w:hAnsi="宋体" w:eastAsia="黑体" w:cs="黑体"/>
          <w:b/>
          <w:color w:val="auto"/>
          <w:kern w:val="2"/>
          <w:sz w:val="32"/>
          <w:szCs w:val="32"/>
        </w:rPr>
        <w:t>第三部分 名词解释</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b/>
          <w:color w:val="auto"/>
          <w:kern w:val="2"/>
          <w:sz w:val="32"/>
          <w:szCs w:val="32"/>
        </w:rPr>
      </w:pPr>
      <w:r>
        <w:rPr>
          <w:rFonts w:hint="eastAsia" w:ascii="黑体" w:hAnsi="宋体" w:eastAsia="黑体" w:cs="黑体"/>
          <w:b/>
          <w:color w:val="auto"/>
          <w:kern w:val="2"/>
          <w:sz w:val="32"/>
          <w:szCs w:val="32"/>
        </w:rPr>
        <w:t>第四部分 决算公开联系方式及信息反馈渠道</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b/>
          <w:color w:val="auto"/>
          <w:kern w:val="2"/>
          <w:sz w:val="32"/>
          <w:szCs w:val="32"/>
        </w:rPr>
      </w:pPr>
      <w:r>
        <w:rPr>
          <w:rFonts w:hint="eastAsia" w:ascii="黑体" w:hAnsi="宋体" w:eastAsia="黑体" w:cs="黑体"/>
          <w:b/>
          <w:color w:val="auto"/>
          <w:kern w:val="2"/>
          <w:sz w:val="32"/>
          <w:szCs w:val="32"/>
        </w:rPr>
        <w:t>第五部分 部门决算公开表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一、收入支出决算总表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二、收入决算表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三、支出决算表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四、财政拨款收入支出决算总表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五、一般公共预算财政拨款支出决算表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六、一般公共预算财政拨款基本支出决算明细表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七、政府性基金预算财政拨款收入支出决算表</w:t>
      </w:r>
    </w:p>
    <w:p>
      <w:pPr>
        <w:keepNext w:val="0"/>
        <w:keepLines w:val="0"/>
        <w:widowControl/>
        <w:suppressLineNumbers w:val="0"/>
        <w:spacing w:before="0" w:beforeLines="0" w:beforeAutospacing="0" w:after="0" w:afterLines="0" w:afterAutospacing="0" w:line="580" w:lineRule="exact"/>
        <w:ind w:left="0" w:right="0" w:firstLine="601"/>
        <w:jc w:val="left"/>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八、机构运行信息表</w:t>
      </w:r>
    </w:p>
    <w:p>
      <w:pPr>
        <w:keepNext w:val="0"/>
        <w:keepLines w:val="0"/>
        <w:widowControl/>
        <w:suppressLineNumbers w:val="0"/>
        <w:spacing w:before="0" w:beforeLines="0" w:beforeAutospacing="0" w:after="0" w:afterLines="0" w:afterAutospacing="0"/>
        <w:ind w:left="0" w:right="0" w:firstLine="601"/>
        <w:jc w:val="left"/>
        <w:rPr>
          <w:rFonts w:hint="default" w:ascii="Times New Roman" w:hAnsi="Times New Roman" w:cs="Times New Roman"/>
          <w:b/>
          <w:color w:val="auto"/>
          <w:kern w:val="2"/>
          <w:sz w:val="44"/>
          <w:szCs w:val="44"/>
        </w:rPr>
      </w:pPr>
      <w:r>
        <w:rPr>
          <w:rFonts w:hint="default" w:ascii="Times New Roman" w:hAnsi="Times New Roman" w:cs="Times New Roman"/>
          <w:b/>
          <w:color w:val="auto"/>
          <w:kern w:val="2"/>
          <w:sz w:val="44"/>
          <w:szCs w:val="44"/>
        </w:rPr>
        <w:t xml:space="preserve"> </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color w:val="auto"/>
        </w:rPr>
        <w:br w:type="page"/>
      </w:r>
      <w:r>
        <w:rPr>
          <w:rFonts w:hint="eastAsia" w:ascii="仿宋_GB2312" w:eastAsia="仿宋_GB2312" w:cs="仿宋_GB2312"/>
          <w:b/>
          <w:color w:val="auto"/>
          <w:kern w:val="2"/>
          <w:sz w:val="32"/>
          <w:szCs w:val="32"/>
        </w:rPr>
        <w:t>第一部分 部门基本情况</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一、部门职责</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受理全市消费者合法权益受到侵害的申诉；受理全市消费者权益、制售假冒伪劣商品及其他经济违法行为的举报；承担消费者权益争议的调解工作；承担工商行政管理工作相关法律法规咨询服务；配合相关部门开展侵害消费者权益、制售假冒伪劣商品行为的案件工作；承担消费者申诉信息统计工作、开展分析。</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二、机构设置</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鄂尔多斯市消费者协会为鄂尔多斯市人民政府工作部门。</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1.鄂尔多斯</w:t>
      </w:r>
      <w:r>
        <w:rPr>
          <w:rFonts w:hint="eastAsia" w:ascii="仿宋_GB2312" w:eastAsia="仿宋_GB2312" w:cs="仿宋_GB2312"/>
          <w:color w:val="auto"/>
          <w:kern w:val="2"/>
          <w:sz w:val="32"/>
          <w:szCs w:val="32"/>
          <w:lang w:val="en-US" w:eastAsia="zh-CN"/>
        </w:rPr>
        <w:t>消费者协会共有在编人员2人，无内设机构科室。</w:t>
      </w:r>
      <w:r>
        <w:rPr>
          <w:rFonts w:hint="eastAsia" w:ascii="仿宋_GB2312" w:eastAsia="仿宋_GB2312" w:cs="仿宋_GB2312"/>
          <w:color w:val="auto"/>
          <w:kern w:val="2"/>
          <w:sz w:val="32"/>
          <w:szCs w:val="32"/>
        </w:rPr>
        <w:t xml:space="preserve"> </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宋体" w:hAnsi="宋体" w:eastAsia="宋体" w:cs="宋体"/>
          <w:color w:val="auto"/>
          <w:kern w:val="2"/>
          <w:sz w:val="32"/>
          <w:szCs w:val="32"/>
        </w:rPr>
        <w:t>2.</w:t>
      </w:r>
      <w:r>
        <w:rPr>
          <w:rFonts w:hint="eastAsia" w:ascii="仿宋_GB2312" w:eastAsia="仿宋_GB2312" w:cs="仿宋_GB2312"/>
          <w:color w:val="auto"/>
          <w:kern w:val="2"/>
          <w:sz w:val="32"/>
          <w:szCs w:val="32"/>
        </w:rPr>
        <w:t>纳入2020年部门决算编制范围的二级预算单位情况：</w:t>
      </w:r>
    </w:p>
    <w:p>
      <w:pPr>
        <w:keepNext w:val="0"/>
        <w:keepLines w:val="0"/>
        <w:widowControl/>
        <w:suppressLineNumbers w:val="0"/>
        <w:spacing w:before="0" w:beforeLines="0" w:beforeAutospacing="0" w:after="0" w:afterLines="0" w:afterAutospacing="0" w:line="580" w:lineRule="exact"/>
        <w:ind w:left="0" w:right="0"/>
        <w:jc w:val="center"/>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单位情况表</w:t>
      </w:r>
    </w:p>
    <w:tbl>
      <w:tblPr>
        <w:tblStyle w:val="10"/>
        <w:tblW w:w="89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8"/>
        <w:gridCol w:w="5049"/>
        <w:gridCol w:w="3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5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序号</w:t>
            </w:r>
          </w:p>
        </w:tc>
        <w:tc>
          <w:tcPr>
            <w:tcW w:w="5049"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单位名称</w:t>
            </w:r>
          </w:p>
        </w:tc>
        <w:tc>
          <w:tcPr>
            <w:tcW w:w="3057"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5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lang w:val="en-US" w:eastAsia="zh-CN"/>
              </w:rPr>
            </w:pPr>
            <w:r>
              <w:rPr>
                <w:rFonts w:hint="eastAsia" w:ascii="仿宋_GB2312" w:eastAsia="仿宋_GB2312" w:cs="仿宋_GB2312"/>
                <w:color w:val="auto"/>
                <w:kern w:val="2"/>
                <w:sz w:val="32"/>
                <w:szCs w:val="32"/>
                <w:lang w:val="en-US" w:eastAsia="zh-CN"/>
              </w:rPr>
              <w:t>1</w:t>
            </w:r>
          </w:p>
        </w:tc>
        <w:tc>
          <w:tcPr>
            <w:tcW w:w="5049"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鄂尔多斯</w:t>
            </w:r>
            <w:r>
              <w:rPr>
                <w:rFonts w:hint="eastAsia" w:ascii="仿宋_GB2312" w:eastAsia="仿宋_GB2312" w:cs="仿宋_GB2312"/>
                <w:color w:val="auto"/>
                <w:kern w:val="2"/>
                <w:sz w:val="32"/>
                <w:szCs w:val="32"/>
                <w:lang w:val="en-US" w:eastAsia="zh-CN"/>
              </w:rPr>
              <w:t>消费者协会</w:t>
            </w:r>
          </w:p>
        </w:tc>
        <w:tc>
          <w:tcPr>
            <w:tcW w:w="3057"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财政全额拨款事业单位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5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p>
        </w:tc>
        <w:tc>
          <w:tcPr>
            <w:tcW w:w="5049"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p>
        </w:tc>
        <w:tc>
          <w:tcPr>
            <w:tcW w:w="3057"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left"/>
              <w:rPr>
                <w:rFonts w:hint="eastAsia" w:ascii="仿宋_GB2312" w:eastAsia="仿宋_GB2312" w:cs="仿宋_GB2312"/>
                <w:color w:val="auto"/>
                <w:kern w:val="2"/>
                <w:sz w:val="32"/>
                <w:szCs w:val="32"/>
              </w:rPr>
            </w:pPr>
          </w:p>
        </w:tc>
      </w:tr>
    </w:tbl>
    <w:p>
      <w:pPr>
        <w:keepNext w:val="0"/>
        <w:keepLines w:val="0"/>
        <w:widowControl/>
        <w:suppressLineNumbers w:val="0"/>
        <w:spacing w:before="0" w:beforeLines="0" w:beforeAutospacing="0" w:after="0" w:afterLines="0" w:afterAutospacing="0" w:line="580" w:lineRule="exact"/>
        <w:ind w:left="0" w:right="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 xml:space="preserve"> </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b/>
          <w:color w:val="auto"/>
          <w:kern w:val="2"/>
          <w:sz w:val="32"/>
          <w:szCs w:val="32"/>
        </w:rPr>
      </w:pPr>
      <w:r>
        <w:rPr>
          <w:rFonts w:hint="eastAsia" w:ascii="仿宋_GB2312" w:eastAsia="仿宋_GB2312" w:cs="仿宋_GB2312"/>
          <w:b/>
          <w:color w:val="auto"/>
          <w:kern w:val="2"/>
          <w:sz w:val="32"/>
          <w:szCs w:val="32"/>
        </w:rPr>
        <w:t>第二部分 2019年度部门决算情况说明</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一、关于2019年度预算执行情况分析</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 w:hAnsi="仿宋" w:eastAsia="仿宋" w:cs="仿宋"/>
          <w:color w:val="auto"/>
          <w:kern w:val="0"/>
          <w:sz w:val="32"/>
          <w:szCs w:val="32"/>
          <w:lang w:val="en-US" w:eastAsia="zh-CN" w:bidi="ar"/>
        </w:rPr>
        <w:t>收入预算25.78 万元，完成年初预算25.78 万元，完成预算100%。支出预算 25.78万元，比上年预算减少 7.67万元，下降22.90%%，主要是</w:t>
      </w:r>
      <w:r>
        <w:rPr>
          <w:rFonts w:hint="eastAsia" w:ascii="仿宋_GB2312" w:eastAsia="仿宋_GB2312" w:cs="仿宋_GB2312"/>
          <w:color w:val="auto"/>
          <w:kern w:val="2"/>
          <w:sz w:val="32"/>
          <w:szCs w:val="32"/>
          <w:lang w:val="en-US" w:eastAsia="zh-CN"/>
        </w:rPr>
        <w:t>根据相关文件精神，压缩公用经费，过紧日子。</w:t>
      </w:r>
    </w:p>
    <w:p>
      <w:pPr>
        <w:keepNext w:val="0"/>
        <w:keepLines w:val="0"/>
        <w:widowControl/>
        <w:suppressLineNumbers w:val="0"/>
        <w:ind w:firstLine="640" w:firstLineChars="200"/>
        <w:jc w:val="left"/>
        <w:rPr>
          <w:rFonts w:hint="default" w:ascii="仿宋_GB2312" w:eastAsia="仿宋_GB2312" w:cs="仿宋_GB2312"/>
          <w:color w:val="auto"/>
          <w:kern w:val="2"/>
          <w:sz w:val="32"/>
          <w:szCs w:val="32"/>
        </w:rPr>
      </w:pP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二、关于2019年度决算情况说明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ascii="楷体" w:hAnsi="楷体" w:eastAsia="楷体" w:cs="楷体"/>
          <w:color w:val="auto"/>
          <w:kern w:val="2"/>
          <w:sz w:val="32"/>
          <w:szCs w:val="32"/>
        </w:rPr>
        <w:t>（一）关于收支情况总体说明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部门2019年度收入总计25.78万元，其中：本年收入合计25.78万元，用事业基金弥补收支差额0.00万元，年初结转和结余0.00万元；支出总计25.78万元，其中：结余分配0.00万元，年末结转和结余0.00万元。与2018年度相比，收入总计减少7.67万元，下降22.90%；支出总计减少7.67万元，下降22.90%。主要原因：</w:t>
      </w:r>
      <w:r>
        <w:rPr>
          <w:rFonts w:hint="eastAsia" w:ascii="仿宋_GB2312" w:eastAsia="仿宋_GB2312" w:cs="仿宋_GB2312"/>
          <w:color w:val="auto"/>
          <w:kern w:val="2"/>
          <w:sz w:val="32"/>
          <w:szCs w:val="32"/>
          <w:lang w:val="en-US" w:eastAsia="zh-CN"/>
        </w:rPr>
        <w:t>根据相关文件精神，压缩公用经费，过紧日子。</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楷体" w:hAnsi="楷体" w:eastAsia="楷体" w:cs="楷体"/>
          <w:color w:val="auto"/>
          <w:kern w:val="2"/>
          <w:sz w:val="32"/>
          <w:szCs w:val="32"/>
        </w:rPr>
        <w:t>（二）关于2019年度收入决算情况说明</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本部门2019年度收入合计25.78万元，其中：财政拨款收入25.78万元，占100.00%；事业收入0.00万元，占0.00%；经营收入0.00万元，占0.00%；其他收入0.00万元，占0.00%。</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楷体" w:hAnsi="楷体" w:eastAsia="楷体" w:cs="楷体"/>
          <w:color w:val="auto"/>
          <w:kern w:val="2"/>
          <w:sz w:val="32"/>
          <w:szCs w:val="32"/>
        </w:rPr>
        <w:t>（三）关于2019年度支出决算情况说明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本部门2019年度支出合计25.78万元，其中：基本支出24.64万元，占95.60%；项目支出1.15万元，占4.50%；经营支出0.00万元，占0.00%。</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楷体" w:hAnsi="楷体" w:eastAsia="楷体" w:cs="楷体"/>
          <w:color w:val="auto"/>
          <w:kern w:val="2"/>
          <w:sz w:val="32"/>
          <w:szCs w:val="32"/>
        </w:rPr>
        <w:t>（四）关于2019年度财政拨款收入支出决算总体情况说明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部门2019年度财政拨款收入总计25.78万元，其中：年初结转和结余0.00万元；支出总计25.78万元，其中：年末结转和结余0.00万元。与2018年度相比，收入减少7.67万元，下降22.90%；支出减少7.67万元，下降22.90%。主要原因：</w:t>
      </w:r>
      <w:r>
        <w:rPr>
          <w:rFonts w:hint="eastAsia" w:ascii="仿宋_GB2312" w:eastAsia="仿宋_GB2312" w:cs="仿宋_GB2312"/>
          <w:color w:val="auto"/>
          <w:kern w:val="2"/>
          <w:sz w:val="32"/>
          <w:szCs w:val="32"/>
          <w:lang w:val="en-US" w:eastAsia="zh-CN"/>
        </w:rPr>
        <w:t>根据相关文件精神，压缩公用经费，过紧日子。</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楷体" w:hAnsi="楷体" w:eastAsia="楷体" w:cs="楷体"/>
          <w:color w:val="auto"/>
          <w:kern w:val="2"/>
          <w:sz w:val="32"/>
          <w:szCs w:val="32"/>
        </w:rPr>
        <w:t>（五）关于2019年度一般公共预算财政拨款支出决算情况说明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本部门2019年度一般公共预算财政拨款支出合计25.78万元，其中：基本支出24.64万元，占95.60%；项目支出1.15万元，占4.50%。</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楷体" w:hAnsi="楷体" w:eastAsia="楷体" w:cs="楷体"/>
          <w:color w:val="auto"/>
          <w:kern w:val="2"/>
          <w:sz w:val="32"/>
          <w:szCs w:val="32"/>
        </w:rPr>
        <w:t>（六）关于2019年度一般公共预算财政拨款基本支出决算情况说明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本部门2019年度一般公共预算财政拨款基本支出24.64万元，其中：人员经费22.34万元，主要包括：工资福利、商品和服务、对个人和家庭的补助，较上年增加2.27万元，主要原因是：</w:t>
      </w:r>
      <w:r>
        <w:rPr>
          <w:rFonts w:hint="eastAsia" w:ascii="仿宋_GB2312" w:eastAsia="仿宋_GB2312" w:cs="仿宋_GB2312"/>
          <w:color w:val="auto"/>
          <w:kern w:val="2"/>
          <w:sz w:val="32"/>
          <w:szCs w:val="32"/>
          <w:lang w:val="en-US" w:eastAsia="zh-CN"/>
        </w:rPr>
        <w:t>工资上调。</w:t>
      </w:r>
      <w:r>
        <w:rPr>
          <w:rFonts w:hint="eastAsia" w:ascii="仿宋_GB2312" w:eastAsia="仿宋_GB2312" w:cs="仿宋_GB2312"/>
          <w:color w:val="auto"/>
          <w:kern w:val="2"/>
          <w:sz w:val="32"/>
          <w:szCs w:val="32"/>
        </w:rPr>
        <w:t>；公用经费2.30万元，主要包括：</w:t>
      </w:r>
      <w:r>
        <w:rPr>
          <w:rFonts w:hint="eastAsia" w:ascii="仿宋_GB2312" w:eastAsia="仿宋_GB2312" w:cs="仿宋_GB2312"/>
          <w:color w:val="auto"/>
          <w:kern w:val="2"/>
          <w:sz w:val="32"/>
          <w:szCs w:val="32"/>
          <w:lang w:val="en-US" w:eastAsia="zh-CN"/>
        </w:rPr>
        <w:t>商品和服务支出，</w:t>
      </w:r>
      <w:r>
        <w:rPr>
          <w:rFonts w:hint="eastAsia" w:ascii="仿宋_GB2312" w:eastAsia="仿宋_GB2312" w:cs="仿宋_GB2312"/>
          <w:color w:val="auto"/>
          <w:kern w:val="2"/>
          <w:sz w:val="32"/>
          <w:szCs w:val="32"/>
        </w:rPr>
        <w:t>较上年减少0.27万元，主要原因是：</w:t>
      </w:r>
      <w:r>
        <w:rPr>
          <w:rFonts w:hint="eastAsia" w:ascii="仿宋_GB2312" w:eastAsia="仿宋_GB2312" w:cs="仿宋_GB2312"/>
          <w:color w:val="auto"/>
          <w:kern w:val="2"/>
          <w:sz w:val="32"/>
          <w:szCs w:val="32"/>
          <w:lang w:val="en-US" w:eastAsia="zh-CN"/>
        </w:rPr>
        <w:t>根据相关文件精神，压缩公用经费，过紧日子。</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楷体" w:hAnsi="楷体" w:eastAsia="楷体" w:cs="楷体"/>
          <w:color w:val="auto"/>
          <w:kern w:val="2"/>
          <w:sz w:val="32"/>
          <w:szCs w:val="32"/>
        </w:rPr>
        <w:t>（七）关于2019年度财政拨款</w:t>
      </w:r>
      <w:r>
        <w:rPr>
          <w:rFonts w:hint="default" w:ascii="Times New Roman" w:hAnsi="Times New Roman" w:cs="Times New Roman"/>
          <w:color w:val="auto"/>
          <w:kern w:val="2"/>
          <w:sz w:val="32"/>
          <w:szCs w:val="32"/>
        </w:rPr>
        <w:t>“</w:t>
      </w:r>
      <w:r>
        <w:rPr>
          <w:rFonts w:hint="eastAsia" w:ascii="楷体" w:hAnsi="楷体" w:eastAsia="楷体" w:cs="楷体"/>
          <w:color w:val="auto"/>
          <w:kern w:val="2"/>
          <w:sz w:val="32"/>
          <w:szCs w:val="32"/>
        </w:rPr>
        <w:t>三公</w:t>
      </w:r>
      <w:r>
        <w:rPr>
          <w:rFonts w:hint="default" w:ascii="Times New Roman" w:hAnsi="Times New Roman" w:cs="Times New Roman"/>
          <w:color w:val="auto"/>
          <w:kern w:val="2"/>
          <w:sz w:val="32"/>
          <w:szCs w:val="32"/>
        </w:rPr>
        <w:t>”</w:t>
      </w:r>
      <w:r>
        <w:rPr>
          <w:rFonts w:hint="eastAsia" w:ascii="楷体" w:hAnsi="楷体" w:eastAsia="楷体" w:cs="楷体"/>
          <w:color w:val="auto"/>
          <w:kern w:val="2"/>
          <w:sz w:val="32"/>
          <w:szCs w:val="32"/>
        </w:rPr>
        <w:t>经费支出决算情况说明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1、财政拨款</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经费支出决算总体情况说明</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本部门2019年度财政拨款</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预算为0.00万元，支出决算为0.00万元，完成预算的0.00%，其中：因公出国（境）费预算为0.00万元，支出决算为0.00万元，完成预算的0.00%；公务用车购置及运行维护费预算为0.00万元，支出决算为0.00万元，完成预算的0.00%；公务接待费预算为0.00万元，支出决算为0.00万元，完成预算的0.00%。</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2、财政拨款</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经费支出决算具体情况说明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本部门2019年度财政拨款</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经费支出0.00万元，因公出国（境）费支出0.00万元，占0.00%；公务用车购置及运行维护费支出0.00万元，占0.00%；公务接待费支出0.00万元，占0.00%。具体情况如下：</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b/>
          <w:color w:val="auto"/>
          <w:kern w:val="2"/>
          <w:sz w:val="32"/>
          <w:szCs w:val="32"/>
        </w:rPr>
        <w:t>因公出国（境）费支出</w:t>
      </w:r>
      <w:r>
        <w:rPr>
          <w:rFonts w:hint="eastAsia" w:ascii="仿宋_GB2312" w:eastAsia="仿宋_GB2312" w:cs="仿宋_GB2312"/>
          <w:color w:val="auto"/>
          <w:kern w:val="2"/>
          <w:sz w:val="32"/>
          <w:szCs w:val="32"/>
        </w:rPr>
        <w:t>0.00万元。全年因公出国（境）团组0.00个，累计0.00人次。</w:t>
      </w:r>
      <w:r>
        <w:rPr>
          <w:rFonts w:hint="eastAsia" w:ascii="仿宋_GB2312" w:eastAsia="仿宋_GB2312" w:cs="仿宋_GB2312"/>
          <w:kern w:val="2"/>
          <w:sz w:val="32"/>
          <w:szCs w:val="32"/>
        </w:rPr>
        <w:t>较</w:t>
      </w:r>
      <w:r>
        <w:rPr>
          <w:rFonts w:hint="eastAsia" w:ascii="仿宋_GB2312" w:eastAsia="仿宋_GB2312" w:cs="仿宋_GB2312"/>
          <w:color w:val="auto"/>
          <w:kern w:val="2"/>
          <w:sz w:val="32"/>
          <w:szCs w:val="32"/>
        </w:rPr>
        <w:t>上年增加0.00万元，增加0.00%。</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kern w:val="2"/>
          <w:sz w:val="32"/>
          <w:szCs w:val="32"/>
        </w:rPr>
      </w:pPr>
      <w:r>
        <w:rPr>
          <w:rFonts w:hint="eastAsia" w:ascii="仿宋_GB2312" w:eastAsia="仿宋_GB2312" w:cs="仿宋_GB2312"/>
          <w:b/>
          <w:kern w:val="2"/>
          <w:sz w:val="32"/>
          <w:szCs w:val="32"/>
        </w:rPr>
        <w:t>公务用车购置及运行维护费支出</w:t>
      </w:r>
      <w:r>
        <w:rPr>
          <w:rFonts w:hint="eastAsia" w:ascii="仿宋_GB2312" w:eastAsia="仿宋_GB2312" w:cs="仿宋_GB2312"/>
          <w:color w:val="auto"/>
          <w:kern w:val="2"/>
          <w:sz w:val="32"/>
          <w:szCs w:val="32"/>
        </w:rPr>
        <w:t>0.00万元。其中：公务用车购置支出0.00万元，车均购置费0.00万元，较上年增加0.00万元，增加0.00%。公务用车运行维护费支出0.00万元，车均运维费0.00万元，较上年增加0.00万元，增加0.00%，财政拨款开支的公务用车保有量为0辆。</w:t>
      </w:r>
    </w:p>
    <w:p>
      <w:pPr>
        <w:keepNext w:val="0"/>
        <w:keepLines w:val="0"/>
        <w:widowControl/>
        <w:suppressLineNumbers w:val="0"/>
        <w:spacing w:before="0" w:beforeLines="0" w:beforeAutospacing="0" w:after="0" w:afterLines="0" w:afterAutospacing="0" w:line="580" w:lineRule="exact"/>
        <w:ind w:left="0" w:right="0" w:firstLine="600"/>
        <w:rPr>
          <w:rFonts w:hint="eastAsia" w:ascii="楷体_GB2312" w:eastAsia="仿宋_GB2312" w:cs="楷体_GB2312"/>
          <w:kern w:val="2"/>
          <w:sz w:val="32"/>
          <w:szCs w:val="32"/>
          <w:lang w:eastAsia="zh-CN"/>
        </w:rPr>
      </w:pPr>
      <w:r>
        <w:rPr>
          <w:rFonts w:hint="eastAsia" w:ascii="仿宋_GB2312" w:eastAsia="仿宋_GB2312" w:cs="仿宋_GB2312"/>
          <w:b/>
          <w:kern w:val="2"/>
          <w:sz w:val="32"/>
          <w:szCs w:val="32"/>
        </w:rPr>
        <w:t>公务接待费支</w:t>
      </w:r>
      <w:r>
        <w:rPr>
          <w:rFonts w:hint="eastAsia" w:ascii="仿宋_GB2312" w:eastAsia="仿宋_GB2312" w:cs="仿宋_GB2312"/>
          <w:b/>
          <w:color w:val="auto"/>
          <w:kern w:val="2"/>
          <w:sz w:val="32"/>
          <w:szCs w:val="32"/>
        </w:rPr>
        <w:t>出</w:t>
      </w:r>
      <w:r>
        <w:rPr>
          <w:rFonts w:hint="eastAsia" w:ascii="仿宋_GB2312" w:eastAsia="仿宋_GB2312" w:cs="仿宋_GB2312"/>
          <w:color w:val="auto"/>
          <w:kern w:val="2"/>
          <w:sz w:val="32"/>
          <w:szCs w:val="32"/>
        </w:rPr>
        <w:t>0.00万元。其中：国内公务接待费0.00万元，接待0批次，共接待0人次。国（境）外接待费0.00万元，接待0批次，共接待0人次。较上年增加0.00万元，增加0.00%</w:t>
      </w:r>
      <w:r>
        <w:rPr>
          <w:rFonts w:hint="eastAsia" w:ascii="仿宋_GB2312" w:hAnsi="仿宋_GB2312" w:eastAsia="仿宋_GB2312" w:cs="仿宋_GB2312"/>
          <w:color w:val="auto"/>
          <w:sz w:val="24"/>
          <w:szCs w:val="24"/>
          <w:lang w:eastAsia="zh-CN"/>
        </w:rPr>
        <w:t>。</w:t>
      </w:r>
    </w:p>
    <w:p>
      <w:pPr>
        <w:keepNext w:val="0"/>
        <w:keepLines w:val="0"/>
        <w:widowControl/>
        <w:suppressLineNumbers w:val="0"/>
        <w:spacing w:before="0" w:beforeLines="0" w:beforeAutospacing="0" w:after="0" w:afterLines="0" w:afterAutospacing="0" w:line="580" w:lineRule="exact"/>
        <w:ind w:left="0" w:right="0" w:firstLine="600"/>
        <w:rPr>
          <w:rFonts w:hint="default" w:ascii="楷体_GB2312" w:eastAsia="楷体_GB2312" w:cs="楷体_GB2312"/>
          <w:color w:val="auto"/>
          <w:kern w:val="2"/>
          <w:sz w:val="32"/>
          <w:szCs w:val="32"/>
        </w:rPr>
      </w:pPr>
      <w:r>
        <w:rPr>
          <w:rFonts w:ascii="楷体_GB2312" w:eastAsia="楷体_GB2312" w:cs="楷体_GB2312"/>
          <w:color w:val="auto"/>
          <w:kern w:val="2"/>
          <w:sz w:val="32"/>
          <w:szCs w:val="32"/>
        </w:rPr>
        <w:t>（八）关于</w:t>
      </w:r>
      <w:r>
        <w:rPr>
          <w:rFonts w:hint="default" w:ascii="楷体_GB2312" w:eastAsia="楷体_GB2312" w:cs="楷体_GB2312"/>
          <w:color w:val="auto"/>
          <w:kern w:val="2"/>
          <w:sz w:val="32"/>
          <w:szCs w:val="32"/>
        </w:rPr>
        <w:t>2019年度政府性预算财政拨款支出决算情况说明</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本部门2019年度政府性基金预算财政拨款支出合计0.00万元，其中：基本支出0.00万元，项目支出0.00万元，比上年增加0.00万元，增长0.00%。</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 xml:space="preserve"> </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三、预算绩效情况说明</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（一）预算绩效管理工作开展情况</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lang w:val="en-US" w:eastAsia="zh-CN"/>
        </w:rPr>
      </w:pPr>
      <w:r>
        <w:rPr>
          <w:rFonts w:hint="eastAsia" w:ascii="仿宋_GB2312" w:eastAsia="仿宋_GB2312" w:cs="仿宋_GB2312"/>
          <w:color w:val="auto"/>
          <w:kern w:val="2"/>
          <w:sz w:val="32"/>
          <w:szCs w:val="32"/>
          <w:lang w:val="en-US" w:eastAsia="zh-CN"/>
        </w:rPr>
        <w:t xml:space="preserve"> 根据预算绩效管理要求，鄂尔多斯市消费者协会组织对 2019 年度12315维权经费开展绩效自评，涉及资金10万元。</w:t>
      </w:r>
    </w:p>
    <w:p>
      <w:pPr>
        <w:keepNext w:val="0"/>
        <w:keepLines w:val="0"/>
        <w:widowControl/>
        <w:suppressLineNumbers w:val="0"/>
        <w:spacing w:before="0" w:beforeLines="0" w:beforeAutospacing="0" w:after="0" w:afterLines="0" w:afterAutospacing="0" w:line="580" w:lineRule="exact"/>
        <w:ind w:left="0" w:right="0" w:firstLine="600"/>
        <w:rPr>
          <w:rFonts w:hint="default" w:ascii="仿宋_GB2312" w:eastAsia="仿宋_GB2312" w:cs="仿宋_GB2312"/>
          <w:color w:val="auto"/>
          <w:kern w:val="2"/>
          <w:sz w:val="32"/>
          <w:szCs w:val="32"/>
          <w:lang w:val="en-US" w:eastAsia="zh-CN"/>
        </w:rPr>
      </w:pPr>
      <w:r>
        <w:rPr>
          <w:rFonts w:hint="default" w:ascii="仿宋_GB2312" w:eastAsia="仿宋_GB2312" w:cs="仿宋_GB2312"/>
          <w:color w:val="auto"/>
          <w:kern w:val="2"/>
          <w:sz w:val="32"/>
          <w:szCs w:val="32"/>
          <w:lang w:val="en-US" w:eastAsia="zh-CN"/>
        </w:rPr>
        <w:t>2019年为纪念“3.15国际消费者权益日”，进一步营造“放心消费”环境，扩大消费者权益的保护宣传，严厉打造消费环境，扩大消费者权益的保护宣传，严厉打击侵害消费者合法权益的违法行为，推动消费者权益保护工作的创新发展，维护良好的市场经济秩序，在3月中旬开展“3.15国际消费者权益日”系列纪念活动及搞好日常消费满意度调查和体验式消费调查等活动</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（二）部门决算中项目绩效自评结果</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lang w:val="en-US" w:eastAsia="zh-CN"/>
        </w:rPr>
      </w:pPr>
      <w:r>
        <w:rPr>
          <w:rFonts w:hint="eastAsia" w:ascii="仿宋_GB2312" w:eastAsia="仿宋_GB2312" w:cs="仿宋_GB2312"/>
          <w:color w:val="auto"/>
          <w:kern w:val="2"/>
          <w:sz w:val="32"/>
          <w:szCs w:val="32"/>
          <w:lang w:val="en-US" w:eastAsia="zh-CN"/>
        </w:rPr>
        <w:t>经过举办各种活动，增强了消费者维权意识和商家诚信经营的理念，巩固了放心消费城市创建的成果</w:t>
      </w:r>
      <w:bookmarkStart w:id="0" w:name="_GoBack"/>
      <w:bookmarkEnd w:id="0"/>
      <w:r>
        <w:rPr>
          <w:rFonts w:hint="eastAsia" w:ascii="仿宋_GB2312" w:eastAsia="仿宋_GB2312" w:cs="仿宋_GB2312"/>
          <w:color w:val="auto"/>
          <w:kern w:val="2"/>
          <w:sz w:val="32"/>
          <w:szCs w:val="32"/>
          <w:lang w:val="en-US" w:eastAsia="zh-CN"/>
        </w:rPr>
        <w:t>。维护了良好的市场经济秩序，充分保护了消费者的合法权益。</w:t>
      </w:r>
    </w:p>
    <w:tbl>
      <w:tblPr>
        <w:tblStyle w:val="10"/>
        <w:tblW w:w="8755" w:type="dxa"/>
        <w:tblInd w:w="0" w:type="dxa"/>
        <w:tblLayout w:type="fixed"/>
        <w:tblCellMar>
          <w:top w:w="0" w:type="dxa"/>
          <w:left w:w="108" w:type="dxa"/>
          <w:bottom w:w="0" w:type="dxa"/>
          <w:right w:w="108" w:type="dxa"/>
        </w:tblCellMar>
      </w:tblPr>
      <w:tblGrid>
        <w:gridCol w:w="567"/>
        <w:gridCol w:w="605"/>
        <w:gridCol w:w="570"/>
        <w:gridCol w:w="568"/>
        <w:gridCol w:w="656"/>
        <w:gridCol w:w="691"/>
        <w:gridCol w:w="284"/>
        <w:gridCol w:w="425"/>
        <w:gridCol w:w="848"/>
        <w:gridCol w:w="677"/>
        <w:gridCol w:w="174"/>
        <w:gridCol w:w="322"/>
        <w:gridCol w:w="429"/>
        <w:gridCol w:w="1050"/>
        <w:gridCol w:w="94"/>
        <w:gridCol w:w="142"/>
        <w:gridCol w:w="511"/>
        <w:gridCol w:w="142"/>
      </w:tblGrid>
      <w:tr>
        <w:tblPrEx>
          <w:tblCellMar>
            <w:top w:w="0" w:type="dxa"/>
            <w:left w:w="108" w:type="dxa"/>
            <w:bottom w:w="0" w:type="dxa"/>
            <w:right w:w="108" w:type="dxa"/>
          </w:tblCellMar>
        </w:tblPrEx>
        <w:trPr>
          <w:gridAfter w:val="1"/>
          <w:wAfter w:w="142" w:type="dxa"/>
          <w:trHeight w:val="480" w:hRule="atLeast"/>
        </w:trPr>
        <w:tc>
          <w:tcPr>
            <w:tcW w:w="8613" w:type="dxa"/>
            <w:gridSpan w:val="17"/>
            <w:tcBorders>
              <w:top w:val="nil"/>
              <w:left w:val="nil"/>
              <w:bottom w:val="nil"/>
              <w:right w:val="nil"/>
            </w:tcBorders>
            <w:noWrap w:val="0"/>
            <w:vAlign w:val="center"/>
          </w:tcPr>
          <w:p>
            <w:pPr>
              <w:spacing w:line="240" w:lineRule="exact"/>
              <w:jc w:val="center"/>
              <w:rPr>
                <w:b/>
                <w:bCs/>
                <w:color w:val="000000"/>
                <w:sz w:val="21"/>
                <w:szCs w:val="21"/>
              </w:rPr>
            </w:pPr>
            <w:r>
              <w:rPr>
                <w:rFonts w:hint="eastAsia"/>
                <w:b/>
                <w:bCs/>
                <w:color w:val="000000"/>
                <w:sz w:val="21"/>
                <w:szCs w:val="21"/>
              </w:rPr>
              <w:t xml:space="preserve">绩效目标自评表 </w:t>
            </w:r>
          </w:p>
        </w:tc>
      </w:tr>
      <w:tr>
        <w:tblPrEx>
          <w:tblCellMar>
            <w:top w:w="0" w:type="dxa"/>
            <w:left w:w="108" w:type="dxa"/>
            <w:bottom w:w="0" w:type="dxa"/>
            <w:right w:w="108" w:type="dxa"/>
          </w:tblCellMar>
        </w:tblPrEx>
        <w:trPr>
          <w:gridAfter w:val="1"/>
          <w:wAfter w:w="142" w:type="dxa"/>
          <w:trHeight w:val="270" w:hRule="atLeast"/>
        </w:trPr>
        <w:tc>
          <w:tcPr>
            <w:tcW w:w="8613" w:type="dxa"/>
            <w:gridSpan w:val="17"/>
            <w:tcBorders>
              <w:top w:val="nil"/>
              <w:left w:val="nil"/>
              <w:bottom w:val="single" w:color="000000" w:sz="4" w:space="0"/>
              <w:right w:val="nil"/>
            </w:tcBorders>
            <w:noWrap w:val="0"/>
            <w:vAlign w:val="top"/>
          </w:tcPr>
          <w:p>
            <w:pPr>
              <w:spacing w:line="240" w:lineRule="exact"/>
              <w:jc w:val="center"/>
              <w:rPr>
                <w:b/>
                <w:bCs/>
                <w:color w:val="000000"/>
                <w:sz w:val="21"/>
                <w:szCs w:val="21"/>
              </w:rPr>
            </w:pPr>
            <w:r>
              <w:rPr>
                <w:rFonts w:hint="eastAsia"/>
                <w:b/>
                <w:bCs/>
                <w:color w:val="000000"/>
                <w:sz w:val="21"/>
                <w:szCs w:val="21"/>
              </w:rPr>
              <w:t>（2019年度）</w:t>
            </w:r>
          </w:p>
        </w:tc>
      </w:tr>
      <w:tr>
        <w:tblPrEx>
          <w:tblCellMar>
            <w:top w:w="0" w:type="dxa"/>
            <w:left w:w="108" w:type="dxa"/>
            <w:bottom w:w="0" w:type="dxa"/>
            <w:right w:w="108" w:type="dxa"/>
          </w:tblCellMar>
        </w:tblPrEx>
        <w:trPr>
          <w:gridAfter w:val="1"/>
          <w:wAfter w:w="142" w:type="dxa"/>
          <w:trHeight w:val="489" w:hRule="exact"/>
        </w:trPr>
        <w:tc>
          <w:tcPr>
            <w:tcW w:w="17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项目名称</w:t>
            </w:r>
          </w:p>
        </w:tc>
        <w:tc>
          <w:tcPr>
            <w:tcW w:w="2624" w:type="dxa"/>
            <w:gridSpan w:val="5"/>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eastAsia" w:eastAsia="宋体"/>
                <w:b/>
                <w:bCs/>
                <w:color w:val="000000"/>
                <w:sz w:val="18"/>
                <w:szCs w:val="18"/>
                <w:lang w:eastAsia="zh-CN"/>
              </w:rPr>
            </w:pPr>
            <w:r>
              <w:rPr>
                <w:rFonts w:hint="eastAsia" w:eastAsia="宋体"/>
                <w:b/>
                <w:bCs/>
                <w:color w:val="000000"/>
                <w:sz w:val="18"/>
                <w:szCs w:val="18"/>
                <w:lang w:eastAsia="zh-CN"/>
              </w:rPr>
              <w:t>12315维权经费</w:t>
            </w:r>
          </w:p>
        </w:tc>
        <w:tc>
          <w:tcPr>
            <w:tcW w:w="152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项目负责人及电话</w:t>
            </w:r>
          </w:p>
        </w:tc>
        <w:tc>
          <w:tcPr>
            <w:tcW w:w="2722" w:type="dxa"/>
            <w:gridSpan w:val="7"/>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eastAsia="宋体"/>
                <w:b/>
                <w:bCs/>
                <w:color w:val="000000"/>
                <w:sz w:val="18"/>
                <w:szCs w:val="18"/>
                <w:lang w:val="en-US" w:eastAsia="zh-CN"/>
              </w:rPr>
            </w:pPr>
            <w:r>
              <w:rPr>
                <w:rFonts w:hint="eastAsia"/>
                <w:b/>
                <w:bCs/>
                <w:color w:val="000000"/>
                <w:sz w:val="18"/>
                <w:szCs w:val="18"/>
                <w:lang w:val="en-US" w:eastAsia="zh-CN"/>
              </w:rPr>
              <w:t>高媛媛8107043</w:t>
            </w:r>
          </w:p>
        </w:tc>
      </w:tr>
      <w:tr>
        <w:tblPrEx>
          <w:tblCellMar>
            <w:top w:w="0" w:type="dxa"/>
            <w:left w:w="108" w:type="dxa"/>
            <w:bottom w:w="0" w:type="dxa"/>
            <w:right w:w="108" w:type="dxa"/>
          </w:tblCellMar>
        </w:tblPrEx>
        <w:trPr>
          <w:gridAfter w:val="1"/>
          <w:wAfter w:w="142" w:type="dxa"/>
          <w:trHeight w:val="654" w:hRule="exact"/>
        </w:trPr>
        <w:tc>
          <w:tcPr>
            <w:tcW w:w="17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主管部门</w:t>
            </w:r>
          </w:p>
        </w:tc>
        <w:tc>
          <w:tcPr>
            <w:tcW w:w="2624" w:type="dxa"/>
            <w:gridSpan w:val="5"/>
            <w:tcBorders>
              <w:top w:val="single" w:color="000000" w:sz="4" w:space="0"/>
              <w:left w:val="nil"/>
              <w:bottom w:val="single" w:color="000000" w:sz="4" w:space="0"/>
              <w:right w:val="single" w:color="000000" w:sz="4" w:space="0"/>
            </w:tcBorders>
            <w:noWrap w:val="0"/>
            <w:vAlign w:val="center"/>
          </w:tcPr>
          <w:p>
            <w:pPr>
              <w:spacing w:line="160" w:lineRule="exact"/>
              <w:rPr>
                <w:rFonts w:hint="eastAsia" w:eastAsia="宋体"/>
                <w:b/>
                <w:bCs/>
                <w:color w:val="000000"/>
                <w:sz w:val="18"/>
                <w:szCs w:val="18"/>
                <w:lang w:eastAsia="zh-CN"/>
              </w:rPr>
            </w:pPr>
            <w:r>
              <w:rPr>
                <w:rFonts w:hint="eastAsia" w:eastAsia="宋体"/>
                <w:b/>
                <w:bCs/>
                <w:color w:val="000000"/>
                <w:sz w:val="18"/>
                <w:szCs w:val="18"/>
                <w:lang w:eastAsia="zh-CN"/>
              </w:rPr>
              <w:t>鄂尔多斯市消费者协会</w:t>
            </w:r>
          </w:p>
        </w:tc>
        <w:tc>
          <w:tcPr>
            <w:tcW w:w="152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实施单位</w:t>
            </w:r>
          </w:p>
        </w:tc>
        <w:tc>
          <w:tcPr>
            <w:tcW w:w="2722" w:type="dxa"/>
            <w:gridSpan w:val="7"/>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鄂尔多斯市消费者协会</w:t>
            </w:r>
          </w:p>
        </w:tc>
      </w:tr>
      <w:tr>
        <w:tblPrEx>
          <w:tblCellMar>
            <w:top w:w="0" w:type="dxa"/>
            <w:left w:w="108" w:type="dxa"/>
            <w:bottom w:w="0" w:type="dxa"/>
            <w:right w:w="108" w:type="dxa"/>
          </w:tblCellMar>
        </w:tblPrEx>
        <w:trPr>
          <w:gridAfter w:val="1"/>
          <w:wAfter w:w="142" w:type="dxa"/>
          <w:trHeight w:val="568" w:hRule="exact"/>
        </w:trPr>
        <w:tc>
          <w:tcPr>
            <w:tcW w:w="174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资金情况（万元）</w:t>
            </w:r>
          </w:p>
        </w:tc>
        <w:tc>
          <w:tcPr>
            <w:tcW w:w="1224" w:type="dxa"/>
            <w:gridSpan w:val="2"/>
            <w:tcBorders>
              <w:top w:val="single" w:color="000000" w:sz="4" w:space="0"/>
              <w:left w:val="nil"/>
              <w:bottom w:val="single" w:color="000000" w:sz="4" w:space="0"/>
              <w:right w:val="single" w:color="000000" w:sz="4" w:space="0"/>
            </w:tcBorders>
            <w:noWrap w:val="0"/>
            <w:vAlign w:val="center"/>
          </w:tcPr>
          <w:p>
            <w:pPr>
              <w:spacing w:line="160" w:lineRule="exact"/>
              <w:rPr>
                <w:b/>
                <w:bCs/>
                <w:color w:val="000000"/>
                <w:sz w:val="18"/>
                <w:szCs w:val="18"/>
              </w:rPr>
            </w:pPr>
            <w:r>
              <w:rPr>
                <w:rFonts w:hint="eastAsia"/>
                <w:b/>
                <w:bCs/>
                <w:color w:val="000000"/>
                <w:sz w:val="18"/>
                <w:szCs w:val="18"/>
              </w:rPr>
              <w:t>　</w:t>
            </w:r>
          </w:p>
        </w:tc>
        <w:tc>
          <w:tcPr>
            <w:tcW w:w="691" w:type="dxa"/>
            <w:tcBorders>
              <w:top w:val="nil"/>
              <w:left w:val="nil"/>
              <w:bottom w:val="single" w:color="000000" w:sz="4" w:space="0"/>
              <w:right w:val="single" w:color="000000" w:sz="4" w:space="0"/>
            </w:tcBorders>
            <w:noWrap w:val="0"/>
            <w:vAlign w:val="center"/>
          </w:tcPr>
          <w:p>
            <w:pPr>
              <w:spacing w:line="160" w:lineRule="exact"/>
              <w:rPr>
                <w:b/>
                <w:bCs/>
                <w:color w:val="000000"/>
                <w:sz w:val="18"/>
                <w:szCs w:val="18"/>
              </w:rPr>
            </w:pPr>
            <w:r>
              <w:rPr>
                <w:rFonts w:hint="eastAsia"/>
                <w:b/>
                <w:bCs/>
                <w:color w:val="000000"/>
                <w:sz w:val="18"/>
                <w:szCs w:val="18"/>
              </w:rPr>
              <w:t>年初预算数</w:t>
            </w:r>
          </w:p>
        </w:tc>
        <w:tc>
          <w:tcPr>
            <w:tcW w:w="709"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全年预算数（A）</w:t>
            </w:r>
          </w:p>
        </w:tc>
        <w:tc>
          <w:tcPr>
            <w:tcW w:w="152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全年执行数（B）</w:t>
            </w:r>
          </w:p>
        </w:tc>
        <w:tc>
          <w:tcPr>
            <w:tcW w:w="496"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分值</w:t>
            </w:r>
          </w:p>
        </w:tc>
        <w:tc>
          <w:tcPr>
            <w:tcW w:w="1573"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xml:space="preserve">执行率（B/A) </w:t>
            </w: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得分</w:t>
            </w:r>
          </w:p>
        </w:tc>
      </w:tr>
      <w:tr>
        <w:tblPrEx>
          <w:tblCellMar>
            <w:top w:w="0" w:type="dxa"/>
            <w:left w:w="108" w:type="dxa"/>
            <w:bottom w:w="0" w:type="dxa"/>
            <w:right w:w="108" w:type="dxa"/>
          </w:tblCellMar>
        </w:tblPrEx>
        <w:trPr>
          <w:gridAfter w:val="1"/>
          <w:wAfter w:w="142" w:type="dxa"/>
          <w:trHeight w:val="424" w:hRule="exact"/>
        </w:trPr>
        <w:tc>
          <w:tcPr>
            <w:tcW w:w="1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224" w:type="dxa"/>
            <w:gridSpan w:val="2"/>
            <w:tcBorders>
              <w:top w:val="single" w:color="000000" w:sz="4" w:space="0"/>
              <w:left w:val="nil"/>
              <w:bottom w:val="single" w:color="000000" w:sz="4" w:space="0"/>
              <w:right w:val="single" w:color="000000" w:sz="4" w:space="0"/>
            </w:tcBorders>
            <w:noWrap w:val="0"/>
            <w:vAlign w:val="center"/>
          </w:tcPr>
          <w:p>
            <w:pPr>
              <w:spacing w:line="160" w:lineRule="exact"/>
              <w:rPr>
                <w:b/>
                <w:bCs/>
                <w:color w:val="000000"/>
                <w:sz w:val="18"/>
                <w:szCs w:val="18"/>
              </w:rPr>
            </w:pPr>
            <w:r>
              <w:rPr>
                <w:rFonts w:hint="eastAsia"/>
                <w:b/>
                <w:bCs/>
                <w:color w:val="000000"/>
                <w:sz w:val="18"/>
                <w:szCs w:val="18"/>
              </w:rPr>
              <w:t>年度资金总额：</w:t>
            </w:r>
          </w:p>
        </w:tc>
        <w:tc>
          <w:tcPr>
            <w:tcW w:w="691"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10</w:t>
            </w:r>
          </w:p>
        </w:tc>
        <w:tc>
          <w:tcPr>
            <w:tcW w:w="709" w:type="dxa"/>
            <w:gridSpan w:val="2"/>
            <w:tcBorders>
              <w:top w:val="nil"/>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10</w:t>
            </w:r>
          </w:p>
        </w:tc>
        <w:tc>
          <w:tcPr>
            <w:tcW w:w="152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eastAsia="宋体"/>
                <w:b/>
                <w:bCs/>
                <w:color w:val="000000"/>
                <w:sz w:val="18"/>
                <w:szCs w:val="18"/>
                <w:lang w:val="en-US" w:eastAsia="zh-CN"/>
              </w:rPr>
            </w:pPr>
            <w:r>
              <w:rPr>
                <w:rFonts w:hint="eastAsia"/>
                <w:b/>
                <w:bCs/>
                <w:color w:val="000000"/>
                <w:sz w:val="18"/>
                <w:szCs w:val="18"/>
                <w:lang w:val="en-US" w:eastAsia="zh-CN"/>
              </w:rPr>
              <w:t>7.8</w:t>
            </w:r>
          </w:p>
        </w:tc>
        <w:tc>
          <w:tcPr>
            <w:tcW w:w="496"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10</w:t>
            </w:r>
          </w:p>
        </w:tc>
        <w:tc>
          <w:tcPr>
            <w:tcW w:w="1573"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78</w:t>
            </w: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rFonts w:hint="default" w:eastAsia="宋体"/>
                <w:b/>
                <w:bCs/>
                <w:color w:val="000000"/>
                <w:sz w:val="18"/>
                <w:szCs w:val="18"/>
                <w:lang w:val="en-US" w:eastAsia="zh-CN"/>
              </w:rPr>
            </w:pPr>
            <w:r>
              <w:rPr>
                <w:rFonts w:hint="eastAsia"/>
                <w:b/>
                <w:bCs/>
                <w:color w:val="000000"/>
                <w:sz w:val="18"/>
                <w:szCs w:val="18"/>
                <w:lang w:val="en-US" w:eastAsia="zh-CN"/>
              </w:rPr>
              <w:t>7.8</w:t>
            </w:r>
          </w:p>
        </w:tc>
      </w:tr>
      <w:tr>
        <w:tblPrEx>
          <w:tblCellMar>
            <w:top w:w="0" w:type="dxa"/>
            <w:left w:w="108" w:type="dxa"/>
            <w:bottom w:w="0" w:type="dxa"/>
            <w:right w:w="108" w:type="dxa"/>
          </w:tblCellMar>
        </w:tblPrEx>
        <w:trPr>
          <w:gridAfter w:val="1"/>
          <w:wAfter w:w="142" w:type="dxa"/>
          <w:trHeight w:val="284" w:hRule="exact"/>
        </w:trPr>
        <w:tc>
          <w:tcPr>
            <w:tcW w:w="1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224" w:type="dxa"/>
            <w:gridSpan w:val="2"/>
            <w:tcBorders>
              <w:top w:val="single" w:color="000000" w:sz="4" w:space="0"/>
              <w:left w:val="nil"/>
              <w:bottom w:val="single" w:color="000000" w:sz="4" w:space="0"/>
              <w:right w:val="single" w:color="000000" w:sz="4" w:space="0"/>
            </w:tcBorders>
            <w:noWrap w:val="0"/>
            <w:vAlign w:val="center"/>
          </w:tcPr>
          <w:p>
            <w:pPr>
              <w:spacing w:line="160" w:lineRule="exact"/>
              <w:rPr>
                <w:b/>
                <w:bCs/>
                <w:color w:val="000000"/>
                <w:sz w:val="18"/>
                <w:szCs w:val="18"/>
              </w:rPr>
            </w:pPr>
            <w:r>
              <w:rPr>
                <w:rFonts w:hint="eastAsia"/>
                <w:b/>
                <w:bCs/>
                <w:color w:val="000000"/>
                <w:sz w:val="18"/>
                <w:szCs w:val="18"/>
              </w:rPr>
              <w:t xml:space="preserve"> 其中：财政拨款</w:t>
            </w:r>
          </w:p>
        </w:tc>
        <w:tc>
          <w:tcPr>
            <w:tcW w:w="691"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10</w:t>
            </w:r>
          </w:p>
        </w:tc>
        <w:tc>
          <w:tcPr>
            <w:tcW w:w="709" w:type="dxa"/>
            <w:gridSpan w:val="2"/>
            <w:tcBorders>
              <w:top w:val="nil"/>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10</w:t>
            </w:r>
          </w:p>
        </w:tc>
        <w:tc>
          <w:tcPr>
            <w:tcW w:w="152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eastAsia="宋体"/>
                <w:b/>
                <w:bCs/>
                <w:color w:val="000000"/>
                <w:sz w:val="18"/>
                <w:szCs w:val="18"/>
                <w:lang w:val="en-US" w:eastAsia="zh-CN"/>
              </w:rPr>
            </w:pPr>
            <w:r>
              <w:rPr>
                <w:rFonts w:hint="eastAsia"/>
                <w:b/>
                <w:bCs/>
                <w:color w:val="000000"/>
                <w:sz w:val="18"/>
                <w:szCs w:val="18"/>
                <w:lang w:val="en-US" w:eastAsia="zh-CN"/>
              </w:rPr>
              <w:t>7.8</w:t>
            </w:r>
          </w:p>
        </w:tc>
        <w:tc>
          <w:tcPr>
            <w:tcW w:w="496"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xml:space="preserve">- </w:t>
            </w:r>
          </w:p>
        </w:tc>
        <w:tc>
          <w:tcPr>
            <w:tcW w:w="1573"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78</w:t>
            </w: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xml:space="preserve">- </w:t>
            </w:r>
          </w:p>
        </w:tc>
      </w:tr>
      <w:tr>
        <w:tblPrEx>
          <w:tblCellMar>
            <w:top w:w="0" w:type="dxa"/>
            <w:left w:w="108" w:type="dxa"/>
            <w:bottom w:w="0" w:type="dxa"/>
            <w:right w:w="108" w:type="dxa"/>
          </w:tblCellMar>
        </w:tblPrEx>
        <w:trPr>
          <w:gridAfter w:val="1"/>
          <w:wAfter w:w="142" w:type="dxa"/>
          <w:trHeight w:val="559" w:hRule="exact"/>
        </w:trPr>
        <w:tc>
          <w:tcPr>
            <w:tcW w:w="1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224" w:type="dxa"/>
            <w:gridSpan w:val="2"/>
            <w:tcBorders>
              <w:top w:val="single" w:color="000000" w:sz="4" w:space="0"/>
              <w:left w:val="nil"/>
              <w:bottom w:val="single" w:color="000000" w:sz="4" w:space="0"/>
              <w:right w:val="single" w:color="000000" w:sz="4" w:space="0"/>
            </w:tcBorders>
            <w:noWrap w:val="0"/>
            <w:vAlign w:val="center"/>
          </w:tcPr>
          <w:p>
            <w:pPr>
              <w:spacing w:line="160" w:lineRule="exact"/>
              <w:rPr>
                <w:b/>
                <w:bCs/>
                <w:color w:val="000000"/>
                <w:sz w:val="18"/>
                <w:szCs w:val="18"/>
              </w:rPr>
            </w:pPr>
            <w:r>
              <w:rPr>
                <w:rFonts w:hint="eastAsia"/>
                <w:b/>
                <w:bCs/>
                <w:color w:val="000000"/>
                <w:sz w:val="18"/>
                <w:szCs w:val="18"/>
              </w:rPr>
              <w:t xml:space="preserve">       其他资金</w:t>
            </w:r>
          </w:p>
        </w:tc>
        <w:tc>
          <w:tcPr>
            <w:tcW w:w="691" w:type="dxa"/>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w:t>
            </w:r>
          </w:p>
        </w:tc>
        <w:tc>
          <w:tcPr>
            <w:tcW w:w="709"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w:t>
            </w:r>
          </w:p>
        </w:tc>
        <w:tc>
          <w:tcPr>
            <w:tcW w:w="152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w:t>
            </w:r>
          </w:p>
        </w:tc>
        <w:tc>
          <w:tcPr>
            <w:tcW w:w="496"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xml:space="preserve">- </w:t>
            </w:r>
          </w:p>
        </w:tc>
        <w:tc>
          <w:tcPr>
            <w:tcW w:w="1573"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w:t>
            </w: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xml:space="preserve">- </w:t>
            </w:r>
          </w:p>
        </w:tc>
      </w:tr>
      <w:tr>
        <w:tblPrEx>
          <w:tblCellMar>
            <w:top w:w="0" w:type="dxa"/>
            <w:left w:w="108" w:type="dxa"/>
            <w:bottom w:w="0" w:type="dxa"/>
            <w:right w:w="108" w:type="dxa"/>
          </w:tblCellMar>
        </w:tblPrEx>
        <w:trPr>
          <w:gridAfter w:val="1"/>
          <w:wAfter w:w="142" w:type="dxa"/>
          <w:trHeight w:val="280" w:hRule="atLeast"/>
        </w:trPr>
        <w:tc>
          <w:tcPr>
            <w:tcW w:w="567" w:type="dxa"/>
            <w:vMerge w:val="restart"/>
            <w:tcBorders>
              <w:top w:val="nil"/>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年度总体目标</w:t>
            </w:r>
          </w:p>
        </w:tc>
        <w:tc>
          <w:tcPr>
            <w:tcW w:w="3799" w:type="dxa"/>
            <w:gridSpan w:val="7"/>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年初设定目标</w:t>
            </w:r>
          </w:p>
        </w:tc>
        <w:tc>
          <w:tcPr>
            <w:tcW w:w="4247" w:type="dxa"/>
            <w:gridSpan w:val="9"/>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年度总体目标完成情况综述</w:t>
            </w:r>
          </w:p>
        </w:tc>
      </w:tr>
      <w:tr>
        <w:tblPrEx>
          <w:tblCellMar>
            <w:top w:w="0" w:type="dxa"/>
            <w:left w:w="108" w:type="dxa"/>
            <w:bottom w:w="0" w:type="dxa"/>
            <w:right w:w="108" w:type="dxa"/>
          </w:tblCellMar>
        </w:tblPrEx>
        <w:trPr>
          <w:gridAfter w:val="1"/>
          <w:wAfter w:w="142" w:type="dxa"/>
          <w:trHeight w:val="2827"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3799" w:type="dxa"/>
            <w:gridSpan w:val="7"/>
            <w:tcBorders>
              <w:top w:val="single" w:color="000000" w:sz="4" w:space="0"/>
              <w:left w:val="nil"/>
              <w:bottom w:val="single" w:color="000000" w:sz="4" w:space="0"/>
              <w:right w:val="single" w:color="000000" w:sz="4" w:space="0"/>
            </w:tcBorders>
            <w:noWrap w:val="0"/>
            <w:vAlign w:val="center"/>
          </w:tcPr>
          <w:p>
            <w:pPr>
              <w:spacing w:line="160" w:lineRule="exact"/>
              <w:rPr>
                <w:rFonts w:hint="eastAsia" w:eastAsia="宋体"/>
                <w:color w:val="000000"/>
                <w:sz w:val="18"/>
                <w:szCs w:val="18"/>
                <w:lang w:val="en-US" w:eastAsia="zh-CN"/>
              </w:rPr>
            </w:pPr>
            <w:r>
              <w:rPr>
                <w:rFonts w:hint="eastAsia" w:eastAsia="宋体"/>
                <w:color w:val="000000"/>
                <w:sz w:val="18"/>
                <w:szCs w:val="18"/>
                <w:lang w:val="en-US" w:eastAsia="zh-CN"/>
              </w:rPr>
              <w:t>1、开展3.15国际消费者权益日系列活动。2、开展“月月3.15”活动。3、健全基层维权网络。4、约谈重点企业，发挥对商品服务的社会监督作用。5、重视消费者诉求，积极维护消费者权益。</w:t>
            </w:r>
          </w:p>
        </w:tc>
        <w:tc>
          <w:tcPr>
            <w:tcW w:w="4247" w:type="dxa"/>
            <w:gridSpan w:val="9"/>
            <w:tcBorders>
              <w:top w:val="single" w:color="000000" w:sz="4" w:space="0"/>
              <w:left w:val="nil"/>
              <w:bottom w:val="single" w:color="000000" w:sz="4" w:space="0"/>
              <w:right w:val="single" w:color="000000" w:sz="4" w:space="0"/>
            </w:tcBorders>
            <w:noWrap w:val="0"/>
            <w:vAlign w:val="center"/>
          </w:tcPr>
          <w:p>
            <w:pPr>
              <w:spacing w:line="160" w:lineRule="exact"/>
              <w:rPr>
                <w:color w:val="000000"/>
                <w:sz w:val="18"/>
                <w:szCs w:val="18"/>
              </w:rPr>
            </w:pPr>
            <w:r>
              <w:rPr>
                <w:rFonts w:hint="eastAsia"/>
                <w:color w:val="000000"/>
                <w:sz w:val="18"/>
                <w:szCs w:val="18"/>
              </w:rPr>
              <w:t>营造放心和谐的消费环境。</w:t>
            </w:r>
          </w:p>
        </w:tc>
      </w:tr>
      <w:tr>
        <w:tblPrEx>
          <w:tblCellMar>
            <w:top w:w="0" w:type="dxa"/>
            <w:left w:w="108" w:type="dxa"/>
            <w:bottom w:w="0" w:type="dxa"/>
            <w:right w:w="108" w:type="dxa"/>
          </w:tblCellMar>
        </w:tblPrEx>
        <w:trPr>
          <w:gridAfter w:val="1"/>
          <w:wAfter w:w="142" w:type="dxa"/>
          <w:trHeight w:val="385" w:hRule="atLeast"/>
        </w:trPr>
        <w:tc>
          <w:tcPr>
            <w:tcW w:w="567" w:type="dxa"/>
            <w:vMerge w:val="restart"/>
            <w:tcBorders>
              <w:top w:val="nil"/>
              <w:left w:val="single" w:color="000000" w:sz="4" w:space="0"/>
              <w:bottom w:val="single" w:color="000000" w:sz="4" w:space="0"/>
              <w:right w:val="single" w:color="000000" w:sz="4" w:space="0"/>
            </w:tcBorders>
            <w:noWrap w:val="0"/>
            <w:textDirection w:val="tbRlV"/>
            <w:vAlign w:val="center"/>
          </w:tcPr>
          <w:p>
            <w:pPr>
              <w:spacing w:line="160" w:lineRule="exact"/>
              <w:jc w:val="center"/>
              <w:rPr>
                <w:b/>
                <w:bCs/>
                <w:color w:val="000000"/>
                <w:sz w:val="18"/>
                <w:szCs w:val="18"/>
              </w:rPr>
            </w:pPr>
            <w:r>
              <w:rPr>
                <w:rFonts w:hint="eastAsia"/>
                <w:b/>
                <w:bCs/>
                <w:color w:val="000000"/>
                <w:sz w:val="18"/>
                <w:szCs w:val="18"/>
              </w:rPr>
              <w:t>绩效指标</w:t>
            </w:r>
          </w:p>
        </w:tc>
        <w:tc>
          <w:tcPr>
            <w:tcW w:w="605" w:type="dxa"/>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一级指标</w:t>
            </w:r>
          </w:p>
        </w:tc>
        <w:tc>
          <w:tcPr>
            <w:tcW w:w="1138"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二级指标</w:t>
            </w: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三级指标</w:t>
            </w:r>
          </w:p>
        </w:tc>
        <w:tc>
          <w:tcPr>
            <w:tcW w:w="425" w:type="dxa"/>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分值</w:t>
            </w:r>
          </w:p>
        </w:tc>
        <w:tc>
          <w:tcPr>
            <w:tcW w:w="848" w:type="dxa"/>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年度指标值</w:t>
            </w: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全年实际完成值</w:t>
            </w: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分值</w:t>
            </w:r>
          </w:p>
        </w:tc>
        <w:tc>
          <w:tcPr>
            <w:tcW w:w="1050" w:type="dxa"/>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得分</w:t>
            </w: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未完成原因及拟采取的改进措施</w:t>
            </w:r>
          </w:p>
        </w:tc>
      </w:tr>
      <w:tr>
        <w:tblPrEx>
          <w:tblCellMar>
            <w:top w:w="0" w:type="dxa"/>
            <w:left w:w="108" w:type="dxa"/>
            <w:bottom w:w="0" w:type="dxa"/>
            <w:right w:w="108" w:type="dxa"/>
          </w:tblCellMar>
        </w:tblPrEx>
        <w:trPr>
          <w:gridAfter w:val="1"/>
          <w:wAfter w:w="142" w:type="dxa"/>
          <w:trHeight w:val="300"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restart"/>
            <w:tcBorders>
              <w:top w:val="nil"/>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产出指标</w:t>
            </w:r>
            <w:r>
              <w:rPr>
                <w:rFonts w:hint="eastAsia"/>
                <w:b/>
                <w:bCs/>
                <w:color w:val="000000"/>
                <w:sz w:val="18"/>
                <w:szCs w:val="18"/>
              </w:rPr>
              <w:br w:type="textWrapping"/>
            </w:r>
          </w:p>
        </w:tc>
        <w:tc>
          <w:tcPr>
            <w:tcW w:w="11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数量指标</w:t>
            </w:r>
          </w:p>
        </w:tc>
        <w:tc>
          <w:tcPr>
            <w:tcW w:w="1631"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3.15设立咨询服务和投诉台</w:t>
            </w:r>
            <w:r>
              <w:rPr>
                <w:rFonts w:hint="eastAsia" w:ascii="宋体" w:hAnsi="宋体" w:cs="宋体"/>
                <w:i w:val="0"/>
                <w:color w:val="000000"/>
                <w:kern w:val="0"/>
                <w:sz w:val="24"/>
                <w:szCs w:val="24"/>
                <w:u w:val="none"/>
                <w:lang w:val="en-US" w:eastAsia="zh-CN" w:bidi="ar"/>
              </w:rPr>
              <w:t>、编印宣传材料、编印宣传展板发布公益广告、</w:t>
            </w:r>
          </w:p>
        </w:tc>
        <w:tc>
          <w:tcPr>
            <w:tcW w:w="425"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50</w:t>
            </w:r>
          </w:p>
        </w:tc>
        <w:tc>
          <w:tcPr>
            <w:tcW w:w="84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≥30000份</w:t>
            </w:r>
          </w:p>
        </w:tc>
        <w:tc>
          <w:tcPr>
            <w:tcW w:w="851"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rPr>
            </w:pPr>
            <w:r>
              <w:rPr>
                <w:rFonts w:hint="eastAsia" w:ascii="宋体" w:hAnsi="宋体" w:eastAsia="宋体" w:cs="宋体"/>
                <w:i w:val="0"/>
                <w:color w:val="000000"/>
                <w:kern w:val="0"/>
                <w:sz w:val="24"/>
                <w:szCs w:val="24"/>
                <w:u w:val="none"/>
                <w:lang w:val="en-US" w:eastAsia="zh-CN" w:bidi="ar"/>
              </w:rPr>
              <w:t>≥30000份</w:t>
            </w: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50</w:t>
            </w:r>
          </w:p>
        </w:tc>
        <w:tc>
          <w:tcPr>
            <w:tcW w:w="1050"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50</w:t>
            </w: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227"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227"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227"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227"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300"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215"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gridAfter w:val="1"/>
          <w:wAfter w:w="142" w:type="dxa"/>
          <w:trHeight w:val="215"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215"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质量指标</w:t>
            </w: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r>
              <w:rPr>
                <w:rFonts w:hint="eastAsia"/>
                <w:color w:val="000000"/>
                <w:sz w:val="18"/>
                <w:szCs w:val="18"/>
              </w:rPr>
              <w:t>消费纠纷化解率</w:t>
            </w:r>
          </w:p>
        </w:tc>
        <w:tc>
          <w:tcPr>
            <w:tcW w:w="425"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20</w:t>
            </w: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r>
              <w:rPr>
                <w:rFonts w:hint="eastAsia" w:ascii="Calibri" w:hAnsi="Calibri"/>
                <w:color w:val="000000"/>
                <w:sz w:val="18"/>
                <w:szCs w:val="18"/>
              </w:rPr>
              <w:t>≥80%</w:t>
            </w: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r>
              <w:rPr>
                <w:rFonts w:hint="eastAsia"/>
                <w:color w:val="000000"/>
                <w:sz w:val="18"/>
                <w:szCs w:val="18"/>
              </w:rPr>
              <w:t>≥80%</w:t>
            </w: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20</w:t>
            </w:r>
          </w:p>
        </w:tc>
        <w:tc>
          <w:tcPr>
            <w:tcW w:w="1050"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color w:val="000000"/>
                <w:sz w:val="18"/>
                <w:szCs w:val="18"/>
                <w:lang w:val="en-US" w:eastAsia="zh-CN"/>
              </w:rPr>
            </w:pPr>
            <w:r>
              <w:rPr>
                <w:rFonts w:hint="eastAsia"/>
                <w:color w:val="000000"/>
                <w:sz w:val="18"/>
                <w:szCs w:val="18"/>
                <w:lang w:val="en-US" w:eastAsia="zh-CN"/>
              </w:rPr>
              <w:t>19</w:t>
            </w: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trHeight w:val="215"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236" w:type="dxa"/>
            <w:gridSpan w:val="2"/>
            <w:tcBorders>
              <w:top w:val="nil"/>
              <w:left w:val="nil"/>
              <w:bottom w:val="single" w:color="000000" w:sz="4" w:space="0"/>
              <w:right w:val="nil"/>
            </w:tcBorders>
            <w:noWrap w:val="0"/>
            <w:vAlign w:val="center"/>
          </w:tcPr>
          <w:p>
            <w:pPr>
              <w:spacing w:line="160" w:lineRule="exact"/>
              <w:jc w:val="center"/>
              <w:rPr>
                <w:bCs/>
                <w:color w:val="000000"/>
                <w:sz w:val="18"/>
                <w:szCs w:val="18"/>
              </w:rPr>
            </w:pPr>
          </w:p>
        </w:tc>
        <w:tc>
          <w:tcPr>
            <w:tcW w:w="653"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gridAfter w:val="1"/>
          <w:wAfter w:w="142" w:type="dxa"/>
          <w:trHeight w:val="284"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gridAfter w:val="1"/>
          <w:wAfter w:w="142" w:type="dxa"/>
          <w:trHeight w:val="284"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时效指标</w:t>
            </w: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425" w:type="dxa"/>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848"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c>
          <w:tcPr>
            <w:tcW w:w="1050" w:type="dxa"/>
            <w:tcBorders>
              <w:top w:val="nil"/>
              <w:left w:val="nil"/>
              <w:bottom w:val="single" w:color="000000" w:sz="4" w:space="0"/>
              <w:right w:val="single" w:color="000000" w:sz="4" w:space="0"/>
            </w:tcBorders>
            <w:noWrap w:val="0"/>
            <w:vAlign w:val="center"/>
          </w:tcPr>
          <w:p>
            <w:pPr>
              <w:spacing w:line="160" w:lineRule="exact"/>
              <w:jc w:val="center"/>
              <w:rPr>
                <w:color w:val="000000"/>
                <w:sz w:val="18"/>
                <w:szCs w:val="18"/>
              </w:rPr>
            </w:pP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gridAfter w:val="1"/>
          <w:wAfter w:w="142" w:type="dxa"/>
          <w:trHeight w:val="284"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社会效益指标</w:t>
            </w: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r>
              <w:rPr>
                <w:rFonts w:hint="eastAsia"/>
                <w:color w:val="000000"/>
                <w:sz w:val="18"/>
                <w:szCs w:val="18"/>
              </w:rPr>
              <w:t>公众学法懂法用法的能力</w:t>
            </w:r>
          </w:p>
        </w:tc>
        <w:tc>
          <w:tcPr>
            <w:tcW w:w="425"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10</w:t>
            </w:r>
          </w:p>
        </w:tc>
        <w:tc>
          <w:tcPr>
            <w:tcW w:w="848" w:type="dxa"/>
            <w:tcBorders>
              <w:top w:val="nil"/>
              <w:left w:val="nil"/>
              <w:bottom w:val="single" w:color="000000" w:sz="4" w:space="0"/>
              <w:right w:val="single" w:color="000000" w:sz="4" w:space="0"/>
            </w:tcBorders>
            <w:noWrap w:val="0"/>
            <w:vAlign w:val="center"/>
          </w:tcPr>
          <w:p>
            <w:pPr>
              <w:tabs>
                <w:tab w:val="left" w:pos="257"/>
              </w:tabs>
              <w:spacing w:line="160" w:lineRule="exact"/>
              <w:jc w:val="left"/>
              <w:rPr>
                <w:rFonts w:hint="eastAsia" w:ascii="Calibri" w:hAnsi="Calibri" w:eastAsia="宋体"/>
                <w:color w:val="000000"/>
                <w:sz w:val="18"/>
                <w:szCs w:val="18"/>
                <w:lang w:eastAsia="zh-CN"/>
              </w:rPr>
            </w:pPr>
            <w:r>
              <w:rPr>
                <w:rFonts w:hint="eastAsia" w:ascii="Calibri" w:hAnsi="Calibri"/>
                <w:color w:val="000000"/>
                <w:sz w:val="18"/>
                <w:szCs w:val="18"/>
                <w:lang w:eastAsia="zh-CN"/>
              </w:rPr>
              <w:tab/>
            </w:r>
            <w:r>
              <w:rPr>
                <w:rFonts w:hint="eastAsia" w:ascii="Calibri" w:hAnsi="Calibri"/>
                <w:color w:val="000000"/>
                <w:sz w:val="18"/>
                <w:szCs w:val="18"/>
                <w:lang w:eastAsia="zh-CN"/>
              </w:rPr>
              <w:t>逐步提高</w:t>
            </w: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r>
              <w:rPr>
                <w:rFonts w:hint="eastAsia"/>
                <w:color w:val="000000"/>
                <w:sz w:val="18"/>
                <w:szCs w:val="18"/>
              </w:rPr>
              <w:t>逐步提高</w:t>
            </w: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10</w:t>
            </w:r>
          </w:p>
        </w:tc>
        <w:tc>
          <w:tcPr>
            <w:tcW w:w="1050" w:type="dxa"/>
            <w:tcBorders>
              <w:top w:val="nil"/>
              <w:left w:val="nil"/>
              <w:bottom w:val="single" w:color="000000" w:sz="4" w:space="0"/>
              <w:right w:val="single" w:color="000000" w:sz="4" w:space="0"/>
            </w:tcBorders>
            <w:noWrap w:val="0"/>
            <w:vAlign w:val="center"/>
          </w:tcPr>
          <w:p>
            <w:pPr>
              <w:spacing w:line="160" w:lineRule="exact"/>
              <w:jc w:val="center"/>
              <w:rPr>
                <w:rFonts w:hint="eastAsia" w:eastAsia="宋体"/>
                <w:color w:val="000000"/>
                <w:sz w:val="18"/>
                <w:szCs w:val="18"/>
                <w:lang w:val="en-US" w:eastAsia="zh-CN"/>
              </w:rPr>
            </w:pPr>
            <w:r>
              <w:rPr>
                <w:rFonts w:hint="eastAsia"/>
                <w:color w:val="000000"/>
                <w:sz w:val="18"/>
                <w:szCs w:val="18"/>
                <w:lang w:val="en-US" w:eastAsia="zh-CN"/>
              </w:rPr>
              <w:t>9</w:t>
            </w: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gridAfter w:val="1"/>
          <w:wAfter w:w="142" w:type="dxa"/>
          <w:trHeight w:val="227"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1138"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可持续影响指标</w:t>
            </w:r>
          </w:p>
        </w:tc>
        <w:tc>
          <w:tcPr>
            <w:tcW w:w="1631"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color w:val="000000"/>
                <w:sz w:val="18"/>
                <w:szCs w:val="18"/>
              </w:rPr>
            </w:pPr>
            <w:r>
              <w:rPr>
                <w:rFonts w:hint="eastAsia"/>
                <w:color w:val="000000"/>
                <w:sz w:val="18"/>
                <w:szCs w:val="18"/>
              </w:rPr>
              <w:t>消费环境</w:t>
            </w:r>
          </w:p>
        </w:tc>
        <w:tc>
          <w:tcPr>
            <w:tcW w:w="425"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10</w:t>
            </w:r>
          </w:p>
        </w:tc>
        <w:tc>
          <w:tcPr>
            <w:tcW w:w="848"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eastAsia" w:eastAsia="宋体"/>
                <w:color w:val="000000"/>
                <w:sz w:val="18"/>
                <w:szCs w:val="18"/>
                <w:lang w:val="en-US" w:eastAsia="zh-CN"/>
              </w:rPr>
            </w:pPr>
            <w:r>
              <w:rPr>
                <w:rFonts w:hint="eastAsia"/>
                <w:color w:val="000000"/>
                <w:sz w:val="18"/>
                <w:szCs w:val="18"/>
                <w:lang w:val="en-US" w:eastAsia="zh-CN"/>
              </w:rPr>
              <w:t>良好</w:t>
            </w: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eastAsia" w:eastAsia="宋体"/>
                <w:color w:val="000000"/>
                <w:sz w:val="18"/>
                <w:szCs w:val="18"/>
                <w:lang w:val="en-US" w:eastAsia="zh-CN"/>
              </w:rPr>
            </w:pPr>
            <w:r>
              <w:rPr>
                <w:rFonts w:hint="eastAsia"/>
                <w:color w:val="000000"/>
                <w:sz w:val="18"/>
                <w:szCs w:val="18"/>
                <w:lang w:val="en-US" w:eastAsia="zh-CN"/>
              </w:rPr>
              <w:t>良好</w:t>
            </w: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10</w:t>
            </w:r>
          </w:p>
        </w:tc>
        <w:tc>
          <w:tcPr>
            <w:tcW w:w="1050" w:type="dxa"/>
            <w:tcBorders>
              <w:top w:val="nil"/>
              <w:left w:val="nil"/>
              <w:bottom w:val="single" w:color="000000" w:sz="4" w:space="0"/>
              <w:right w:val="single" w:color="000000" w:sz="4" w:space="0"/>
            </w:tcBorders>
            <w:noWrap w:val="0"/>
            <w:vAlign w:val="center"/>
          </w:tcPr>
          <w:p>
            <w:pPr>
              <w:spacing w:line="160" w:lineRule="exact"/>
              <w:jc w:val="center"/>
              <w:rPr>
                <w:rFonts w:hint="eastAsia" w:eastAsia="宋体"/>
                <w:color w:val="000000"/>
                <w:sz w:val="18"/>
                <w:szCs w:val="18"/>
                <w:lang w:val="en-US" w:eastAsia="zh-CN"/>
              </w:rPr>
            </w:pPr>
            <w:r>
              <w:rPr>
                <w:rFonts w:hint="eastAsia"/>
                <w:color w:val="000000"/>
                <w:sz w:val="18"/>
                <w:szCs w:val="18"/>
                <w:lang w:val="en-US" w:eastAsia="zh-CN"/>
              </w:rPr>
              <w:t>9</w:t>
            </w: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Cs/>
                <w:color w:val="000000"/>
                <w:sz w:val="18"/>
                <w:szCs w:val="18"/>
              </w:rPr>
            </w:pPr>
          </w:p>
        </w:tc>
      </w:tr>
      <w:tr>
        <w:tblPrEx>
          <w:tblCellMar>
            <w:top w:w="0" w:type="dxa"/>
            <w:left w:w="108" w:type="dxa"/>
            <w:bottom w:w="0" w:type="dxa"/>
            <w:right w:w="108" w:type="dxa"/>
          </w:tblCellMar>
        </w:tblPrEx>
        <w:trPr>
          <w:gridAfter w:val="1"/>
          <w:wAfter w:w="142" w:type="dxa"/>
          <w:trHeight w:val="699" w:hRule="atLeast"/>
        </w:trPr>
        <w:tc>
          <w:tcPr>
            <w:tcW w:w="567" w:type="dxa"/>
            <w:vMerge w:val="continue"/>
            <w:tcBorders>
              <w:top w:val="nil"/>
              <w:left w:val="single" w:color="000000" w:sz="4" w:space="0"/>
              <w:bottom w:val="single" w:color="000000" w:sz="4" w:space="0"/>
              <w:right w:val="single" w:color="000000" w:sz="4" w:space="0"/>
            </w:tcBorders>
            <w:noWrap w:val="0"/>
            <w:vAlign w:val="center"/>
          </w:tcPr>
          <w:p>
            <w:pPr>
              <w:spacing w:line="160" w:lineRule="exact"/>
              <w:rPr>
                <w:b/>
                <w:bCs/>
                <w:color w:val="000000"/>
                <w:sz w:val="18"/>
                <w:szCs w:val="18"/>
              </w:rPr>
            </w:pPr>
          </w:p>
        </w:tc>
        <w:tc>
          <w:tcPr>
            <w:tcW w:w="605" w:type="dxa"/>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xml:space="preserve">满意度指标( </w:t>
            </w:r>
          </w:p>
        </w:tc>
        <w:tc>
          <w:tcPr>
            <w:tcW w:w="1138"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服务对象满意度指标</w:t>
            </w:r>
          </w:p>
        </w:tc>
        <w:tc>
          <w:tcPr>
            <w:tcW w:w="1631" w:type="dxa"/>
            <w:gridSpan w:val="3"/>
            <w:tcBorders>
              <w:top w:val="single" w:color="000000" w:sz="4" w:space="0"/>
              <w:left w:val="nil"/>
              <w:bottom w:val="single" w:color="000000" w:sz="4" w:space="0"/>
              <w:right w:val="single" w:color="000000" w:sz="4" w:space="0"/>
            </w:tcBorders>
            <w:noWrap w:val="0"/>
            <w:vAlign w:val="center"/>
          </w:tcPr>
          <w:p>
            <w:pPr>
              <w:tabs>
                <w:tab w:val="left" w:pos="378"/>
              </w:tabs>
              <w:spacing w:line="160" w:lineRule="exact"/>
              <w:jc w:val="left"/>
              <w:rPr>
                <w:rFonts w:hint="eastAsia" w:eastAsia="宋体"/>
                <w:color w:val="000000"/>
                <w:sz w:val="18"/>
                <w:szCs w:val="18"/>
                <w:lang w:eastAsia="zh-CN"/>
              </w:rPr>
            </w:pPr>
            <w:r>
              <w:rPr>
                <w:rFonts w:hint="eastAsia"/>
                <w:color w:val="000000"/>
                <w:sz w:val="18"/>
                <w:szCs w:val="18"/>
                <w:lang w:eastAsia="zh-CN"/>
              </w:rPr>
              <w:tab/>
            </w:r>
            <w:r>
              <w:rPr>
                <w:rFonts w:hint="eastAsia"/>
                <w:color w:val="000000"/>
                <w:sz w:val="18"/>
                <w:szCs w:val="18"/>
                <w:lang w:eastAsia="zh-CN"/>
              </w:rPr>
              <w:t>公众对消费者权益救济保护工作的满意度</w:t>
            </w:r>
          </w:p>
        </w:tc>
        <w:tc>
          <w:tcPr>
            <w:tcW w:w="425"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bCs/>
                <w:color w:val="000000"/>
                <w:sz w:val="18"/>
                <w:szCs w:val="18"/>
                <w:lang w:val="en-US" w:eastAsia="zh-CN"/>
              </w:rPr>
            </w:pPr>
            <w:r>
              <w:rPr>
                <w:rFonts w:hint="eastAsia"/>
                <w:bCs/>
                <w:color w:val="000000"/>
                <w:sz w:val="18"/>
                <w:szCs w:val="18"/>
                <w:lang w:val="en-US" w:eastAsia="zh-CN"/>
              </w:rPr>
              <w:t>10</w:t>
            </w:r>
          </w:p>
        </w:tc>
        <w:tc>
          <w:tcPr>
            <w:tcW w:w="848" w:type="dxa"/>
            <w:tcBorders>
              <w:top w:val="nil"/>
              <w:left w:val="nil"/>
              <w:bottom w:val="single" w:color="000000" w:sz="4" w:space="0"/>
              <w:right w:val="single" w:color="000000" w:sz="4" w:space="0"/>
            </w:tcBorders>
            <w:noWrap w:val="0"/>
            <w:vAlign w:val="center"/>
          </w:tcPr>
          <w:p>
            <w:pPr>
              <w:spacing w:line="160" w:lineRule="exact"/>
              <w:jc w:val="center"/>
              <w:rPr>
                <w:rFonts w:ascii="Calibri" w:hAnsi="Calibri"/>
                <w:color w:val="000000"/>
                <w:sz w:val="18"/>
                <w:szCs w:val="18"/>
              </w:rPr>
            </w:pPr>
            <w:r>
              <w:rPr>
                <w:rFonts w:hint="eastAsia" w:ascii="Calibri" w:hAnsi="Calibri"/>
                <w:color w:val="000000"/>
                <w:sz w:val="18"/>
                <w:szCs w:val="18"/>
              </w:rPr>
              <w:t>≥90%</w:t>
            </w:r>
          </w:p>
        </w:tc>
        <w:tc>
          <w:tcPr>
            <w:tcW w:w="851"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both"/>
              <w:rPr>
                <w:color w:val="000000"/>
                <w:sz w:val="18"/>
                <w:szCs w:val="18"/>
              </w:rPr>
            </w:pPr>
            <w:r>
              <w:rPr>
                <w:rFonts w:hint="eastAsia"/>
                <w:color w:val="000000"/>
                <w:sz w:val="18"/>
                <w:szCs w:val="18"/>
              </w:rPr>
              <w:t>90%</w:t>
            </w: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Cs/>
                <w:color w:val="000000"/>
                <w:sz w:val="18"/>
                <w:szCs w:val="18"/>
              </w:rPr>
            </w:pPr>
          </w:p>
          <w:p>
            <w:pPr>
              <w:bidi w:val="0"/>
              <w:jc w:val="left"/>
              <w:rPr>
                <w:rFonts w:hint="default" w:eastAsia="宋体"/>
                <w:kern w:val="2"/>
                <w:sz w:val="21"/>
                <w:lang w:val="en-US" w:eastAsia="zh-CN"/>
              </w:rPr>
            </w:pPr>
            <w:r>
              <w:rPr>
                <w:rFonts w:hint="eastAsia"/>
                <w:kern w:val="2"/>
                <w:sz w:val="21"/>
                <w:lang w:val="en-US" w:eastAsia="zh-CN"/>
              </w:rPr>
              <w:t>10</w:t>
            </w:r>
          </w:p>
        </w:tc>
        <w:tc>
          <w:tcPr>
            <w:tcW w:w="1050" w:type="dxa"/>
            <w:tcBorders>
              <w:top w:val="nil"/>
              <w:left w:val="nil"/>
              <w:bottom w:val="single" w:color="000000" w:sz="4" w:space="0"/>
              <w:right w:val="single" w:color="000000" w:sz="4" w:space="0"/>
            </w:tcBorders>
            <w:noWrap w:val="0"/>
            <w:vAlign w:val="center"/>
          </w:tcPr>
          <w:p>
            <w:pPr>
              <w:spacing w:line="160" w:lineRule="exact"/>
              <w:jc w:val="center"/>
              <w:rPr>
                <w:rFonts w:hint="eastAsia" w:eastAsia="宋体"/>
                <w:color w:val="000000"/>
                <w:sz w:val="18"/>
                <w:szCs w:val="18"/>
                <w:lang w:val="en-US" w:eastAsia="zh-CN"/>
              </w:rPr>
            </w:pPr>
            <w:r>
              <w:rPr>
                <w:rFonts w:hint="eastAsia"/>
                <w:color w:val="000000"/>
                <w:sz w:val="18"/>
                <w:szCs w:val="18"/>
                <w:lang w:val="en-US" w:eastAsia="zh-CN"/>
              </w:rPr>
              <w:t>9</w:t>
            </w: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rPr>
                <w:bCs/>
                <w:color w:val="000000"/>
                <w:sz w:val="18"/>
                <w:szCs w:val="18"/>
              </w:rPr>
            </w:pPr>
          </w:p>
        </w:tc>
      </w:tr>
      <w:tr>
        <w:tblPrEx>
          <w:tblCellMar>
            <w:top w:w="0" w:type="dxa"/>
            <w:left w:w="108" w:type="dxa"/>
            <w:bottom w:w="0" w:type="dxa"/>
            <w:right w:w="108" w:type="dxa"/>
          </w:tblCellMar>
        </w:tblPrEx>
        <w:trPr>
          <w:gridAfter w:val="1"/>
          <w:wAfter w:w="142" w:type="dxa"/>
          <w:trHeight w:val="270" w:hRule="atLeast"/>
        </w:trPr>
        <w:tc>
          <w:tcPr>
            <w:tcW w:w="394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总分</w:t>
            </w:r>
          </w:p>
        </w:tc>
        <w:tc>
          <w:tcPr>
            <w:tcW w:w="425" w:type="dxa"/>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100</w:t>
            </w:r>
          </w:p>
        </w:tc>
        <w:tc>
          <w:tcPr>
            <w:tcW w:w="1699"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w:t>
            </w:r>
          </w:p>
        </w:tc>
        <w:tc>
          <w:tcPr>
            <w:tcW w:w="751" w:type="dxa"/>
            <w:gridSpan w:val="2"/>
            <w:tcBorders>
              <w:top w:val="nil"/>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100</w:t>
            </w:r>
          </w:p>
        </w:tc>
        <w:tc>
          <w:tcPr>
            <w:tcW w:w="1050" w:type="dxa"/>
            <w:tcBorders>
              <w:top w:val="nil"/>
              <w:left w:val="nil"/>
              <w:bottom w:val="single" w:color="000000" w:sz="4" w:space="0"/>
              <w:right w:val="single" w:color="000000" w:sz="4" w:space="0"/>
            </w:tcBorders>
            <w:noWrap w:val="0"/>
            <w:vAlign w:val="center"/>
          </w:tcPr>
          <w:p>
            <w:pPr>
              <w:spacing w:line="160" w:lineRule="exact"/>
              <w:jc w:val="center"/>
              <w:rPr>
                <w:rFonts w:hint="default" w:eastAsia="宋体"/>
                <w:b/>
                <w:bCs/>
                <w:color w:val="000000"/>
                <w:sz w:val="18"/>
                <w:szCs w:val="18"/>
                <w:lang w:val="en-US" w:eastAsia="zh-CN"/>
              </w:rPr>
            </w:pPr>
            <w:r>
              <w:rPr>
                <w:rFonts w:hint="eastAsia"/>
                <w:b/>
                <w:bCs/>
                <w:color w:val="000000"/>
                <w:sz w:val="18"/>
                <w:szCs w:val="18"/>
                <w:lang w:val="en-US" w:eastAsia="zh-CN"/>
              </w:rPr>
              <w:t>96</w:t>
            </w:r>
          </w:p>
        </w:tc>
        <w:tc>
          <w:tcPr>
            <w:tcW w:w="747" w:type="dxa"/>
            <w:gridSpan w:val="3"/>
            <w:tcBorders>
              <w:top w:val="single" w:color="000000" w:sz="4" w:space="0"/>
              <w:left w:val="nil"/>
              <w:bottom w:val="single" w:color="000000" w:sz="4" w:space="0"/>
              <w:right w:val="single" w:color="000000" w:sz="4" w:space="0"/>
            </w:tcBorders>
            <w:noWrap w:val="0"/>
            <w:vAlign w:val="center"/>
          </w:tcPr>
          <w:p>
            <w:pPr>
              <w:spacing w:line="160" w:lineRule="exact"/>
              <w:jc w:val="center"/>
              <w:rPr>
                <w:b/>
                <w:bCs/>
                <w:color w:val="000000"/>
                <w:sz w:val="18"/>
                <w:szCs w:val="18"/>
              </w:rPr>
            </w:pPr>
            <w:r>
              <w:rPr>
                <w:rFonts w:hint="eastAsia"/>
                <w:b/>
                <w:bCs/>
                <w:color w:val="000000"/>
                <w:sz w:val="18"/>
                <w:szCs w:val="18"/>
              </w:rPr>
              <w:t>　</w:t>
            </w:r>
          </w:p>
        </w:tc>
      </w:tr>
    </w:tbl>
    <w:p>
      <w:pPr>
        <w:keepNext w:val="0"/>
        <w:keepLines w:val="0"/>
        <w:widowControl/>
        <w:suppressLineNumbers w:val="0"/>
        <w:spacing w:before="0" w:beforeLines="0" w:beforeAutospacing="0" w:after="0" w:afterLines="0" w:afterAutospacing="0" w:line="580" w:lineRule="exact"/>
        <w:ind w:left="0" w:right="0" w:firstLine="600"/>
        <w:rPr>
          <w:rFonts w:hint="default" w:ascii="仿宋_GB2312" w:eastAsia="仿宋_GB2312" w:cs="仿宋_GB2312"/>
          <w:color w:val="auto"/>
          <w:kern w:val="2"/>
          <w:sz w:val="32"/>
          <w:szCs w:val="32"/>
          <w:lang w:val="en-US" w:eastAsia="zh-CN"/>
        </w:rPr>
      </w:pP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四、其他重要事项的情况说明</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（一）机关运行经费支出情况</w:t>
      </w:r>
    </w:p>
    <w:p>
      <w:pPr>
        <w:keepNext w:val="0"/>
        <w:keepLines w:val="0"/>
        <w:widowControl/>
        <w:suppressLineNumbers w:val="0"/>
        <w:spacing w:before="0" w:beforeLines="0" w:beforeAutospacing="0" w:after="0" w:afterLines="0" w:afterAutospacing="0" w:line="580" w:lineRule="exact"/>
        <w:ind w:left="0" w:right="0" w:firstLine="600"/>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spacing w:before="0" w:beforeLines="0" w:beforeAutospacing="0" w:after="0" w:afterLines="0" w:afterAutospacing="0" w:line="580" w:lineRule="exact"/>
        <w:ind w:left="0" w:right="0" w:firstLine="600"/>
        <w:rPr>
          <w:rFonts w:hint="default" w:ascii="仿宋_GB2312" w:eastAsia="仿宋_GB2312" w:cs="仿宋_GB2312"/>
          <w:color w:val="auto"/>
          <w:kern w:val="2"/>
          <w:sz w:val="32"/>
          <w:szCs w:val="32"/>
          <w:lang w:val="en-US" w:eastAsia="zh-CN"/>
        </w:rPr>
      </w:pPr>
      <w:r>
        <w:rPr>
          <w:rFonts w:hint="eastAsia" w:ascii="仿宋_GB2312" w:eastAsia="仿宋_GB2312" w:cs="仿宋_GB2312"/>
          <w:color w:val="auto"/>
          <w:kern w:val="2"/>
          <w:sz w:val="32"/>
          <w:szCs w:val="32"/>
        </w:rPr>
        <w:t>本部门2019年度机关运行经费支出0.00万元，比2018年增加0.00万元，增长0.00%。</w:t>
      </w:r>
      <w:r>
        <w:rPr>
          <w:rFonts w:hint="eastAsia" w:ascii="仿宋_GB2312" w:eastAsia="仿宋_GB2312" w:cs="仿宋_GB2312"/>
          <w:color w:val="auto"/>
          <w:kern w:val="2"/>
          <w:sz w:val="32"/>
          <w:szCs w:val="32"/>
          <w:lang w:val="en-US" w:eastAsia="zh-CN"/>
        </w:rPr>
        <w:t>主要原因是本单位与鄂尔多斯市市场监督管理局合署办公，无机关运行经费预算。</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（二）政府采购支出情况</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本部门2019年度政府采购支出合计0.00万元，其中：政府采购货物支出0.00万元</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比2018年增加0.00万元，增长0.00%，主要原因是：</w:t>
      </w:r>
      <w:r>
        <w:rPr>
          <w:rFonts w:hint="eastAsia" w:ascii="仿宋_GB2312" w:eastAsia="仿宋_GB2312" w:cs="仿宋_GB2312"/>
          <w:color w:val="auto"/>
          <w:kern w:val="2"/>
          <w:sz w:val="32"/>
          <w:szCs w:val="32"/>
          <w:lang w:val="en-US" w:eastAsia="zh-CN"/>
        </w:rPr>
        <w:t>本单位2019年度无政府采购项目。</w:t>
      </w:r>
      <w:r>
        <w:rPr>
          <w:rFonts w:hint="eastAsia" w:ascii="仿宋_GB2312" w:eastAsia="仿宋_GB2312" w:cs="仿宋_GB2312"/>
          <w:color w:val="auto"/>
          <w:kern w:val="2"/>
          <w:sz w:val="32"/>
          <w:szCs w:val="32"/>
        </w:rPr>
        <w:t>政府采购工程支出0.00万元，比2018年增加0.00万元，增长0.00%，主要原因是</w:t>
      </w:r>
      <w:r>
        <w:rPr>
          <w:rFonts w:hint="eastAsia" w:ascii="仿宋_GB2312" w:eastAsia="仿宋_GB2312" w:cs="仿宋_GB2312"/>
          <w:color w:val="auto"/>
          <w:kern w:val="2"/>
          <w:sz w:val="32"/>
          <w:szCs w:val="32"/>
          <w:lang w:val="en-US" w:eastAsia="zh-CN"/>
        </w:rPr>
        <w:t>本单位2019年度无政府采购项目</w:t>
      </w:r>
      <w:r>
        <w:rPr>
          <w:rFonts w:hint="eastAsia" w:ascii="仿宋_GB2312" w:eastAsia="仿宋_GB2312" w:cs="仿宋_GB2312"/>
          <w:color w:val="auto"/>
          <w:kern w:val="2"/>
          <w:sz w:val="32"/>
          <w:szCs w:val="32"/>
        </w:rPr>
        <w:t>；政府采购服务支出0.00万元，比2018年增加0.00万元，增长0.00%，主要原因是</w:t>
      </w:r>
      <w:r>
        <w:rPr>
          <w:rFonts w:hint="eastAsia" w:ascii="仿宋_GB2312" w:eastAsia="仿宋_GB2312" w:cs="仿宋_GB2312"/>
          <w:color w:val="auto"/>
          <w:kern w:val="2"/>
          <w:sz w:val="32"/>
          <w:szCs w:val="32"/>
          <w:lang w:val="en-US" w:eastAsia="zh-CN"/>
        </w:rPr>
        <w:t>本单位2019年度无政府采购项目</w:t>
      </w:r>
      <w:r>
        <w:rPr>
          <w:rFonts w:hint="eastAsia" w:ascii="仿宋_GB2312" w:eastAsia="仿宋_GB2312" w:cs="仿宋_GB2312"/>
          <w:color w:val="auto"/>
          <w:kern w:val="2"/>
          <w:sz w:val="32"/>
          <w:szCs w:val="32"/>
        </w:rPr>
        <w:t>。授予中小企业合同金额0.00万元。</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（三）国有资产占用情况</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截至2019年12月31日，本部门共有车辆0.00辆，其中，副部（省）级及以上领导用车0.00辆</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;主要领导干部用车0.00辆，;机要通信用车0.00辆，;应急保障用车0.00辆;执法执勤用车0.00辆；特种专业技术用车0.00辆</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离退休干部用车0.00辆。单位价值50万元以上通用设备0.00台（套）;单位价值100万元以上专用设备0.00台（套）。</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 xml:space="preserve"> </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b/>
          <w:color w:val="auto"/>
          <w:kern w:val="2"/>
          <w:sz w:val="32"/>
          <w:szCs w:val="32"/>
        </w:rPr>
      </w:pPr>
      <w:r>
        <w:rPr>
          <w:rFonts w:hint="eastAsia" w:ascii="仿宋_GB2312" w:eastAsia="仿宋_GB2312" w:cs="仿宋_GB2312"/>
          <w:b/>
          <w:color w:val="auto"/>
          <w:kern w:val="2"/>
          <w:sz w:val="32"/>
          <w:szCs w:val="32"/>
        </w:rPr>
        <w:t>第三部分 名词解释</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（一）财政拨款收入：指本年度从本级财政部门取得的财政拨款，包括一般公共预算财政拨款和政府性基金预算财政拨款。</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（二）事业收入：指事业单位开展专业业务活动及其辅助活动取得的收入；事业单位收到的财政专户实际核拨的教育收费等资金。</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（三）经营收入：指事业单位在专业业务活动及其辅助活动之外开展非独立核算经营活动取得的收入。</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五）用事业基金弥补收支差额：指事业单位在当年的“财政拨款收入”、“财政拨款结转和结余资金”、“事业收入”、“事业单位经营收入”、“其他收入”不足以安排当年支出的情况下，使用以前年度累积的事业基金（当年收支相抵后按国家规定提取、用于弥补以后年度收支差额的基金）弥补本年收支缺口的资金。</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（六）年初结转和结余：</w:t>
      </w:r>
      <w:r>
        <w:rPr>
          <w:rFonts w:hint="eastAsia" w:ascii="仿宋_GB2312" w:eastAsia="仿宋_GB2312" w:cs="仿宋_GB2312"/>
          <w:color w:val="auto"/>
          <w:kern w:val="2"/>
          <w:sz w:val="32"/>
          <w:szCs w:val="32"/>
          <w:highlight w:val="white"/>
        </w:rPr>
        <w:t>指以前年度支出预算因客观条件变化未执行完毕、结转到本年度按有关规定继续使用的资金。</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（七）结余分配</w:t>
      </w:r>
      <w:r>
        <w:rPr>
          <w:rFonts w:hint="eastAsia" w:ascii="仿宋_GB2312" w:eastAsia="仿宋_GB2312" w:cs="仿宋_GB2312"/>
          <w:color w:val="auto"/>
          <w:kern w:val="2"/>
          <w:sz w:val="32"/>
          <w:szCs w:val="32"/>
          <w:highlight w:val="white"/>
        </w:rPr>
        <w:t>：指事业单位按照会计制度规定缴纳的所得税以及从非财政拨款结余中提取的职工福利基金、事业基金等。</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（八）年末结转和结余</w:t>
      </w:r>
      <w:r>
        <w:rPr>
          <w:rFonts w:hint="eastAsia" w:ascii="仿宋_GB2312" w:eastAsia="仿宋_GB2312" w:cs="仿宋_GB2312"/>
          <w:color w:val="auto"/>
          <w:kern w:val="2"/>
          <w:sz w:val="32"/>
          <w:szCs w:val="32"/>
          <w:highlight w:val="white"/>
        </w:rPr>
        <w:t>：指单位本年度或以前年度预算安排、因客观条件发生变化未全部执行或未执行，结转到以后年度继续使用的资金，或项目已完成等产生的结余资金。</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（九）基本支出：指为保障机构正常运转、完成日常工作任务而发生的人员经费和公用经费。其中：人员经费指政府收支分类经济科目中的</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工资福利支出</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和</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对个人和家庭的补助</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；公用经费指政府收支分类经济科目中除</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工资福利支出</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和</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对个人和家庭的补助</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外的其他支出。</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（十）项目支出：指在基本支出之外为完成特定任务和事业发展目标所发生的支出。</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（十一）经营支出：指事业单位在专业业务活动及其辅助活动之外开展非独立核算经营活动发生的支出。</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（十二）</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三公</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（十五）商品和服务支出（支出经济分类科目类级）：反映单位购买商品和服务的支出（不包括用于购置固定资产的支出、战略性和应急储备支出）。</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（十六）对个人和家庭的补助（支出经济分类科目类级）：反映用于对个人和家庭的补助支出。</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 xml:space="preserve"> </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b/>
          <w:color w:val="auto"/>
          <w:kern w:val="2"/>
          <w:sz w:val="32"/>
          <w:szCs w:val="32"/>
        </w:rPr>
      </w:pPr>
      <w:r>
        <w:rPr>
          <w:rFonts w:hint="eastAsia" w:ascii="仿宋_GB2312" w:eastAsia="仿宋_GB2312" w:cs="仿宋_GB2312"/>
          <w:b/>
          <w:color w:val="auto"/>
          <w:kern w:val="2"/>
          <w:sz w:val="32"/>
          <w:szCs w:val="32"/>
        </w:rPr>
        <w:t>第四部分 决算公开联系方式及信息反馈渠道</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2"/>
          <w:sz w:val="32"/>
          <w:szCs w:val="32"/>
        </w:rPr>
      </w:pPr>
      <w:r>
        <w:rPr>
          <w:rFonts w:hint="eastAsia" w:ascii="仿宋_GB2312" w:eastAsia="仿宋_GB2312" w:cs="仿宋_GB2312"/>
          <w:color w:val="auto"/>
          <w:kern w:val="2"/>
          <w:sz w:val="32"/>
          <w:szCs w:val="32"/>
        </w:rPr>
        <w:t>本单位决算公开信息反馈和联系方式：</w:t>
      </w:r>
    </w:p>
    <w:p>
      <w:pPr>
        <w:keepNext w:val="0"/>
        <w:keepLines w:val="0"/>
        <w:widowControl/>
        <w:suppressLineNumbers w:val="0"/>
        <w:spacing w:before="0" w:beforeLines="0" w:beforeAutospacing="0" w:after="0" w:afterLines="0" w:afterAutospacing="0" w:line="580" w:lineRule="exact"/>
        <w:ind w:left="0" w:right="0" w:firstLine="600"/>
        <w:rPr>
          <w:rFonts w:hint="default" w:ascii="Times New Roman" w:hAnsi="Times New Roman" w:cs="Times New Roman"/>
          <w:color w:val="auto"/>
          <w:kern w:val="0"/>
          <w:sz w:val="18"/>
          <w:szCs w:val="18"/>
        </w:rPr>
      </w:pPr>
      <w:r>
        <w:rPr>
          <w:rFonts w:hint="eastAsia" w:ascii="仿宋_GB2312" w:eastAsia="仿宋_GB2312" w:cs="仿宋_GB2312"/>
          <w:color w:val="auto"/>
          <w:kern w:val="2"/>
          <w:sz w:val="32"/>
          <w:szCs w:val="32"/>
        </w:rPr>
        <w:t>联系人：马新亮    联系电话：0477</w:t>
      </w:r>
      <w:r>
        <w:rPr>
          <w:rFonts w:hint="default" w:ascii="Times New Roman" w:hAnsi="Times New Roman" w:cs="Times New Roman"/>
          <w:color w:val="auto"/>
          <w:kern w:val="2"/>
          <w:sz w:val="32"/>
          <w:szCs w:val="32"/>
        </w:rPr>
        <w:t>-</w:t>
      </w:r>
      <w:r>
        <w:rPr>
          <w:rFonts w:hint="eastAsia" w:ascii="仿宋_GB2312" w:eastAsia="仿宋_GB2312" w:cs="仿宋_GB2312"/>
          <w:color w:val="auto"/>
          <w:kern w:val="2"/>
          <w:sz w:val="32"/>
          <w:szCs w:val="32"/>
        </w:rPr>
        <w:t>8117043</w:t>
      </w:r>
    </w:p>
    <w:p>
      <w:pPr>
        <w:keepNext w:val="0"/>
        <w:keepLines w:val="0"/>
        <w:widowControl/>
        <w:suppressLineNumbers w:val="0"/>
        <w:spacing w:before="0" w:beforeLines="0" w:beforeAutospacing="0" w:after="0" w:afterLines="0" w:afterAutospacing="0"/>
        <w:ind w:left="0" w:right="0"/>
        <w:jc w:val="left"/>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p>
      <w:pPr>
        <w:keepNext w:val="0"/>
        <w:keepLines w:val="0"/>
        <w:widowControl/>
        <w:suppressLineNumbers w:val="0"/>
        <w:spacing w:before="0" w:beforeLines="0" w:beforeAutospacing="0" w:after="0" w:afterLines="0" w:afterAutospacing="0"/>
        <w:ind w:left="0" w:right="0"/>
        <w:jc w:val="left"/>
        <w:rPr>
          <w:rFonts w:hint="default" w:ascii="Times New Roman" w:hAnsi="Times New Roman" w:cs="Times New Roman"/>
          <w:b/>
          <w:color w:val="auto"/>
          <w:kern w:val="2"/>
          <w:sz w:val="36"/>
          <w:szCs w:val="36"/>
        </w:rPr>
      </w:pPr>
      <w:r>
        <w:rPr>
          <w:rFonts w:hint="default" w:ascii="Times New Roman" w:hAnsi="Times New Roman" w:cs="Times New Roman"/>
          <w:b/>
          <w:color w:val="auto"/>
          <w:kern w:val="2"/>
          <w:sz w:val="36"/>
          <w:szCs w:val="36"/>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D206A"/>
    <w:rsid w:val="1A2B3C63"/>
    <w:rsid w:val="1B4C0DD9"/>
    <w:rsid w:val="563E4E11"/>
    <w:rsid w:val="714A4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uiPriority w:val="0"/>
    <w:rPr>
      <w:rFonts w:ascii="微软雅黑" w:hAnsi="微软雅黑" w:eastAsia="微软雅黑" w:cs="微软雅黑"/>
      <w:color w:val="000000"/>
      <w:u w:val="none"/>
    </w:rPr>
  </w:style>
  <w:style w:type="character" w:styleId="14">
    <w:name w:val="Emphasis"/>
    <w:basedOn w:val="11"/>
    <w:qFormat/>
    <w:uiPriority w:val="0"/>
  </w:style>
  <w:style w:type="character" w:styleId="15">
    <w:name w:val="HTML Definition"/>
    <w:basedOn w:val="11"/>
    <w:qFormat/>
    <w:uiPriority w:val="0"/>
    <w:rPr>
      <w:i/>
    </w:rPr>
  </w:style>
  <w:style w:type="character" w:styleId="16">
    <w:name w:val="Hyperlink"/>
    <w:basedOn w:val="11"/>
    <w:qFormat/>
    <w:uiPriority w:val="0"/>
    <w:rPr>
      <w:rFonts w:hint="eastAsia" w:ascii="微软雅黑" w:hAnsi="微软雅黑" w:eastAsia="微软雅黑" w:cs="微软雅黑"/>
      <w:color w:val="000000"/>
      <w:u w:val="non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ascii="Consolas" w:hAnsi="Consolas" w:eastAsia="Consolas" w:cs="Consolas"/>
      <w:color w:val="FFFFFF"/>
      <w:sz w:val="21"/>
      <w:szCs w:val="21"/>
      <w:shd w:val="clear"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hover29"/>
    <w:basedOn w:val="11"/>
    <w:qFormat/>
    <w:uiPriority w:val="0"/>
  </w:style>
  <w:style w:type="character" w:customStyle="1" w:styleId="21">
    <w:name w:val="hover31"/>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2020-09-18T07:47:00Z</dcterms:created>
  <dc:creator>ssqha</dc:creator>
  <cp:lastModifiedBy>王大可</cp:lastModifiedBy>
  <dcterms:modified xsi:type="dcterms:W3CDTF">2020-09-22T02:11:33Z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