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Lines="0" w:beforeAutospacing="0" w:after="0" w:afterLines="0" w:afterAutospacing="0"/>
        <w:ind w:left="0" w:right="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ind w:left="0" w:right="0" w:firstLine="601"/>
        <w:jc w:val="center"/>
        <w:rPr>
          <w:rFonts w:hint="default" w:ascii="Times New Roman" w:hAnsi="Times New Roman" w:cs="Times New Roman"/>
          <w:b/>
          <w:color w:val="auto"/>
          <w:kern w:val="2"/>
          <w:sz w:val="44"/>
          <w:szCs w:val="44"/>
        </w:rPr>
      </w:pPr>
      <w:r>
        <w:rPr>
          <w:rFonts w:ascii="仿宋_GB2312" w:eastAsia="仿宋_GB2312" w:cs="仿宋_GB2312"/>
          <w:b/>
          <w:color w:val="auto"/>
          <w:kern w:val="2"/>
          <w:sz w:val="44"/>
          <w:szCs w:val="44"/>
        </w:rPr>
        <w:t>内蒙古自治区鄂尔多斯市个体劳动者私营企业协会</w:t>
      </w:r>
    </w:p>
    <w:p>
      <w:pPr>
        <w:keepNext w:val="0"/>
        <w:keepLines w:val="0"/>
        <w:widowControl/>
        <w:suppressLineNumbers w:val="0"/>
        <w:spacing w:before="0" w:beforeLines="0" w:beforeAutospacing="0" w:after="0" w:afterLines="0" w:afterAutospacing="0"/>
        <w:ind w:left="0" w:right="0" w:firstLine="601"/>
        <w:jc w:val="center"/>
        <w:rPr>
          <w:rFonts w:hint="default" w:ascii="Times New Roman" w:hAnsi="Times New Roman" w:cs="Times New Roman"/>
          <w:b/>
          <w:color w:val="auto"/>
          <w:kern w:val="2"/>
          <w:sz w:val="44"/>
          <w:szCs w:val="44"/>
        </w:rPr>
      </w:pPr>
      <w:r>
        <w:rPr>
          <w:rFonts w:hint="eastAsia" w:ascii="仿宋_GB2312" w:eastAsia="仿宋_GB2312" w:cs="仿宋_GB2312"/>
          <w:b/>
          <w:color w:val="auto"/>
          <w:kern w:val="2"/>
          <w:sz w:val="44"/>
          <w:szCs w:val="44"/>
        </w:rPr>
        <w:t>2019年度决算公开报告</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line="580" w:lineRule="exact"/>
        <w:ind w:left="0" w:right="0" w:firstLine="600"/>
        <w:jc w:val="center"/>
        <w:rPr>
          <w:rFonts w:hint="default" w:ascii="Times New Roman" w:hAnsi="Times New Roman" w:cs="Times New Roman"/>
          <w:b/>
          <w:color w:val="auto"/>
          <w:kern w:val="2"/>
          <w:sz w:val="36"/>
          <w:szCs w:val="36"/>
        </w:rPr>
      </w:pPr>
    </w:p>
    <w:p>
      <w:pPr>
        <w:keepNext w:val="0"/>
        <w:keepLines w:val="0"/>
        <w:widowControl/>
        <w:suppressLineNumbers w:val="0"/>
        <w:spacing w:before="0" w:beforeLines="0" w:beforeAutospacing="0" w:after="0" w:afterLines="0" w:afterAutospacing="0"/>
        <w:ind w:left="0" w:right="0" w:firstLine="601"/>
        <w:jc w:val="left"/>
        <w:rPr>
          <w:rFonts w:hint="default" w:ascii="Times New Roman" w:hAnsi="Times New Roman" w:cs="Times New Roman"/>
          <w:b/>
          <w:color w:val="auto"/>
          <w:kern w:val="2"/>
          <w:sz w:val="44"/>
          <w:szCs w:val="44"/>
        </w:rPr>
      </w:pPr>
      <w:r>
        <w:rPr>
          <w:rFonts w:hint="default" w:ascii="Times New Roman" w:hAnsi="Times New Roman" w:cs="Times New Roman"/>
          <w:b/>
          <w:color w:val="auto"/>
          <w:kern w:val="2"/>
          <w:sz w:val="44"/>
          <w:szCs w:val="44"/>
        </w:rPr>
        <w:t xml:space="preserve"> </w:t>
      </w:r>
    </w:p>
    <w:p>
      <w:pPr>
        <w:keepNext w:val="0"/>
        <w:keepLines w:val="0"/>
        <w:widowControl/>
        <w:suppressLineNumbers w:val="0"/>
        <w:spacing w:before="0" w:beforeLines="0" w:beforeAutospacing="0" w:after="0" w:afterLines="0" w:afterAutospacing="0"/>
        <w:ind w:left="0" w:right="0" w:firstLine="601"/>
        <w:jc w:val="center"/>
        <w:rPr>
          <w:rFonts w:hint="default" w:ascii="Times New Roman" w:hAnsi="Times New Roman" w:cs="Times New Roman"/>
          <w:b/>
          <w:color w:val="auto"/>
          <w:kern w:val="2"/>
          <w:sz w:val="44"/>
          <w:szCs w:val="44"/>
        </w:rPr>
      </w:pPr>
      <w:r>
        <w:rPr>
          <w:rFonts w:hint="eastAsia" w:ascii="仿宋_GB2312" w:eastAsia="仿宋_GB2312" w:cs="仿宋_GB2312"/>
          <w:b/>
          <w:color w:val="auto"/>
          <w:kern w:val="2"/>
          <w:sz w:val="44"/>
          <w:szCs w:val="44"/>
        </w:rPr>
        <w:t>目录</w:t>
      </w:r>
    </w:p>
    <w:p>
      <w:pPr>
        <w:keepNext w:val="0"/>
        <w:keepLines w:val="0"/>
        <w:widowControl/>
        <w:suppressLineNumbers w:val="0"/>
        <w:spacing w:before="0" w:beforeLines="0" w:beforeAutospacing="0" w:after="0" w:afterLines="0" w:afterAutospacing="0"/>
        <w:ind w:left="0" w:right="0" w:firstLine="601"/>
        <w:jc w:val="left"/>
        <w:rPr>
          <w:rFonts w:hint="default" w:ascii="Times New Roman" w:hAnsi="Times New Roman" w:cs="Times New Roman"/>
          <w:b/>
          <w:color w:val="auto"/>
          <w:kern w:val="2"/>
          <w:sz w:val="44"/>
          <w:szCs w:val="44"/>
        </w:rPr>
      </w:pPr>
      <w:r>
        <w:rPr>
          <w:rFonts w:hint="default" w:ascii="Times New Roman" w:hAnsi="Times New Roman" w:cs="Times New Roman"/>
          <w:b/>
          <w:color w:val="auto"/>
          <w:kern w:val="2"/>
          <w:sz w:val="44"/>
          <w:szCs w:val="44"/>
        </w:rPr>
        <w:t xml:space="preserve"> </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b/>
          <w:color w:val="auto"/>
          <w:kern w:val="2"/>
          <w:sz w:val="32"/>
          <w:szCs w:val="32"/>
        </w:rPr>
      </w:pPr>
      <w:r>
        <w:rPr>
          <w:rFonts w:ascii="黑体" w:hAnsi="宋体" w:eastAsia="黑体" w:cs="黑体"/>
          <w:b/>
          <w:color w:val="auto"/>
          <w:kern w:val="2"/>
          <w:sz w:val="32"/>
          <w:szCs w:val="32"/>
        </w:rPr>
        <w:t>第一部分</w:t>
      </w:r>
      <w:r>
        <w:rPr>
          <w:rFonts w:hint="eastAsia" w:ascii="黑体" w:hAnsi="宋体" w:eastAsia="黑体" w:cs="黑体"/>
          <w:b/>
          <w:color w:val="auto"/>
          <w:kern w:val="2"/>
          <w:sz w:val="32"/>
          <w:szCs w:val="32"/>
        </w:rPr>
        <w:t xml:space="preserve"> 部门基本情况</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一、部门职责</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二、机构设置</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b/>
          <w:color w:val="auto"/>
          <w:kern w:val="2"/>
          <w:sz w:val="32"/>
          <w:szCs w:val="32"/>
        </w:rPr>
      </w:pPr>
      <w:r>
        <w:rPr>
          <w:rFonts w:hint="eastAsia" w:ascii="黑体" w:hAnsi="宋体" w:eastAsia="黑体" w:cs="黑体"/>
          <w:b/>
          <w:color w:val="auto"/>
          <w:kern w:val="2"/>
          <w:sz w:val="32"/>
          <w:szCs w:val="32"/>
        </w:rPr>
        <w:t>第二部分 2019年度部门决算情况说明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一、关于2019年度预算执行情况分析</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二、关于2019年度决算情况说明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（一）关于收支情况总体说明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（二）关于2019年度收入决算情况说明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（三）关于2019年度支出决算情况说明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（四）关于2019年度财政拨款收入支出决算总体情况说明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（五）关于2019年度一般公共预算财政拨款支出决算情况说明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（六）关于2019年度一般公共预算财政拨款基本支出决算情况说明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（七）关于2019年度财政拨款</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三公</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经费支出决算情况说明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1、财政拨款</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三公</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经费支出决算总体情况说明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2、财政拨款</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三公</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经费支出决算具体情况说明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（八）关于2019年度政府性预算财政拨款支出决算情况说明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三、预算绩效情况说明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（一）预算绩效管理工作开展情况</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（二）部门决算中项目绩效自评结果</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四、其他重要事项的情况说明</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（一）机关运行经费支出情况</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（二）政府采购支出情况</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（三）国有资产占用情况</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 xml:space="preserve"> </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b/>
          <w:color w:val="auto"/>
          <w:kern w:val="2"/>
          <w:sz w:val="32"/>
          <w:szCs w:val="32"/>
        </w:rPr>
      </w:pPr>
      <w:r>
        <w:rPr>
          <w:rFonts w:hint="eastAsia" w:ascii="黑体" w:hAnsi="宋体" w:eastAsia="黑体" w:cs="黑体"/>
          <w:b/>
          <w:color w:val="auto"/>
          <w:kern w:val="2"/>
          <w:sz w:val="32"/>
          <w:szCs w:val="32"/>
        </w:rPr>
        <w:t>第三部分 名词解释</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b/>
          <w:color w:val="auto"/>
          <w:kern w:val="2"/>
          <w:sz w:val="32"/>
          <w:szCs w:val="32"/>
        </w:rPr>
      </w:pPr>
      <w:r>
        <w:rPr>
          <w:rFonts w:hint="eastAsia" w:ascii="黑体" w:hAnsi="宋体" w:eastAsia="黑体" w:cs="黑体"/>
          <w:b/>
          <w:color w:val="auto"/>
          <w:kern w:val="2"/>
          <w:sz w:val="32"/>
          <w:szCs w:val="32"/>
        </w:rPr>
        <w:t>第四部分 决算公开联系方式及信息反馈渠道</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b/>
          <w:color w:val="auto"/>
          <w:kern w:val="2"/>
          <w:sz w:val="32"/>
          <w:szCs w:val="32"/>
        </w:rPr>
      </w:pPr>
      <w:r>
        <w:rPr>
          <w:rFonts w:hint="eastAsia" w:ascii="黑体" w:hAnsi="宋体" w:eastAsia="黑体" w:cs="黑体"/>
          <w:b/>
          <w:color w:val="auto"/>
          <w:kern w:val="2"/>
          <w:sz w:val="32"/>
          <w:szCs w:val="32"/>
        </w:rPr>
        <w:t>第五部分 部门决算公开表</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一、收入支出决算总表</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二、收入决算表</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三、支出决算表</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四、财政拨款收入支出决算总表</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五、一般公共预算财政拨款支出决算表</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六、一般公共预算财政拨款基本支出决算明细表</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七、政府性基金预算财政拨款收入支出决算表</w:t>
      </w:r>
    </w:p>
    <w:p>
      <w:pPr>
        <w:keepNext w:val="0"/>
        <w:keepLines w:val="0"/>
        <w:widowControl/>
        <w:suppressLineNumbers w:val="0"/>
        <w:spacing w:before="0" w:beforeLines="0" w:beforeAutospacing="0" w:after="0" w:afterLines="0" w:afterAutospacing="0" w:line="580" w:lineRule="exact"/>
        <w:ind w:left="0" w:right="0" w:firstLine="601"/>
        <w:jc w:val="left"/>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八、机构运行信息表</w:t>
      </w:r>
    </w:p>
    <w:p>
      <w:pPr>
        <w:keepNext w:val="0"/>
        <w:keepLines w:val="0"/>
        <w:widowControl/>
        <w:suppressLineNumbers w:val="0"/>
        <w:spacing w:before="0" w:beforeLines="0" w:beforeAutospacing="0" w:after="0" w:afterLines="0" w:afterAutospacing="0"/>
        <w:ind w:left="0" w:right="0" w:firstLine="601"/>
        <w:jc w:val="left"/>
        <w:rPr>
          <w:rFonts w:hint="default" w:ascii="Times New Roman" w:hAnsi="Times New Roman" w:cs="Times New Roman"/>
          <w:b/>
          <w:color w:val="auto"/>
          <w:kern w:val="2"/>
          <w:sz w:val="44"/>
          <w:szCs w:val="44"/>
        </w:rPr>
      </w:pPr>
      <w:r>
        <w:rPr>
          <w:rFonts w:hint="default" w:ascii="Times New Roman" w:hAnsi="Times New Roman" w:cs="Times New Roman"/>
          <w:b/>
          <w:color w:val="auto"/>
          <w:kern w:val="2"/>
          <w:sz w:val="44"/>
          <w:szCs w:val="44"/>
        </w:rPr>
        <w:t xml:space="preserve"> </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color w:val="auto"/>
        </w:rPr>
        <w:br w:type="page"/>
      </w:r>
      <w:r>
        <w:rPr>
          <w:rFonts w:hint="eastAsia" w:ascii="仿宋_GB2312" w:eastAsia="仿宋_GB2312" w:cs="仿宋_GB2312"/>
          <w:b/>
          <w:color w:val="auto"/>
          <w:kern w:val="2"/>
          <w:sz w:val="32"/>
          <w:szCs w:val="32"/>
        </w:rPr>
        <w:t>第一部分 部门基本情况</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一、部门职责</w:t>
      </w:r>
    </w:p>
    <w:p>
      <w:pPr>
        <w:keepNext w:val="0"/>
        <w:keepLines w:val="0"/>
        <w:widowControl/>
        <w:suppressLineNumbers w:val="0"/>
        <w:spacing w:before="0" w:beforeLines="0" w:beforeAutospacing="0" w:after="0" w:afterLines="0" w:afterAutospacing="0" w:line="580" w:lineRule="exact"/>
        <w:ind w:left="0" w:right="0" w:firstLine="60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承担组织协会会员政治理论和法律知识及相关知识的学习任务，开展相关活动；组织技术、业务培训；提供相关信息和咨询服务；参与私营企业的管理工作，提出发展私营经济的政策建议。</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二、机构设置</w:t>
      </w:r>
    </w:p>
    <w:p>
      <w:pPr>
        <w:keepNext w:val="0"/>
        <w:keepLines w:val="0"/>
        <w:widowControl/>
        <w:suppressLineNumbers w:val="0"/>
        <w:spacing w:before="0" w:beforeLines="0" w:beforeAutospacing="0" w:after="0" w:afterLines="0" w:afterAutospacing="0" w:line="580" w:lineRule="exact"/>
        <w:ind w:left="0" w:right="0" w:firstLine="60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鄂尔多斯市个体劳动者私营企业协会为鄂尔多斯市人民政府工作部门。</w:t>
      </w:r>
    </w:p>
    <w:p>
      <w:pPr>
        <w:keepNext w:val="0"/>
        <w:keepLines w:val="0"/>
        <w:widowControl/>
        <w:suppressLineNumbers w:val="0"/>
        <w:spacing w:before="0" w:beforeLines="0" w:beforeAutospacing="0" w:after="0" w:afterLines="0" w:afterAutospacing="0" w:line="580" w:lineRule="exact"/>
        <w:ind w:left="0" w:right="0" w:firstLine="600"/>
        <w:rPr>
          <w:rFonts w:hint="default" w:ascii="仿宋_GB2312" w:eastAsia="仿宋_GB2312" w:cs="仿宋_GB2312"/>
          <w:color w:val="auto"/>
          <w:kern w:val="2"/>
          <w:sz w:val="32"/>
          <w:szCs w:val="32"/>
          <w:lang w:val="en-US" w:eastAsia="zh-CN"/>
        </w:rPr>
      </w:pPr>
      <w:r>
        <w:rPr>
          <w:rFonts w:hint="eastAsia" w:ascii="仿宋_GB2312" w:eastAsia="仿宋_GB2312" w:cs="仿宋_GB2312"/>
          <w:color w:val="auto"/>
          <w:kern w:val="2"/>
          <w:sz w:val="32"/>
          <w:szCs w:val="32"/>
        </w:rPr>
        <w:t>1.鄂尔多斯市个体劳动者私营企业协会</w:t>
      </w:r>
      <w:r>
        <w:rPr>
          <w:rFonts w:hint="eastAsia" w:ascii="仿宋_GB2312" w:eastAsia="仿宋_GB2312" w:cs="仿宋_GB2312"/>
          <w:color w:val="auto"/>
          <w:kern w:val="2"/>
          <w:sz w:val="32"/>
          <w:szCs w:val="32"/>
          <w:lang w:val="en-US" w:eastAsia="zh-CN"/>
        </w:rPr>
        <w:t>在编人员4人。</w:t>
      </w:r>
    </w:p>
    <w:p>
      <w:pPr>
        <w:keepNext w:val="0"/>
        <w:keepLines w:val="0"/>
        <w:widowControl/>
        <w:suppressLineNumbers w:val="0"/>
        <w:spacing w:before="0" w:beforeLines="0" w:beforeAutospacing="0" w:after="0" w:afterLines="0" w:afterAutospacing="0" w:line="580" w:lineRule="exact"/>
        <w:ind w:left="0" w:right="0" w:firstLine="600"/>
        <w:rPr>
          <w:rFonts w:hint="eastAsia" w:ascii="仿宋_GB2312" w:eastAsia="仿宋_GB2312" w:cs="仿宋_GB2312"/>
          <w:color w:val="auto"/>
          <w:kern w:val="2"/>
          <w:sz w:val="32"/>
          <w:szCs w:val="32"/>
        </w:rPr>
      </w:pPr>
      <w:r>
        <w:rPr>
          <w:rFonts w:hint="eastAsia" w:ascii="宋体" w:hAnsi="宋体" w:eastAsia="宋体" w:cs="宋体"/>
          <w:color w:val="auto"/>
          <w:kern w:val="2"/>
          <w:sz w:val="32"/>
          <w:szCs w:val="32"/>
        </w:rPr>
        <w:t>2.</w:t>
      </w:r>
      <w:r>
        <w:rPr>
          <w:rFonts w:hint="eastAsia" w:ascii="仿宋_GB2312" w:eastAsia="仿宋_GB2312" w:cs="仿宋_GB2312"/>
          <w:color w:val="auto"/>
          <w:kern w:val="2"/>
          <w:sz w:val="32"/>
          <w:szCs w:val="32"/>
        </w:rPr>
        <w:t>纳入2020年部门决算编制范围的二级预算单位情况：</w:t>
      </w:r>
    </w:p>
    <w:p>
      <w:pPr>
        <w:keepNext w:val="0"/>
        <w:keepLines w:val="0"/>
        <w:widowControl/>
        <w:suppressLineNumbers w:val="0"/>
        <w:spacing w:before="0" w:beforeLines="0" w:beforeAutospacing="0" w:after="0" w:afterLines="0" w:afterAutospacing="0" w:line="580" w:lineRule="exact"/>
        <w:ind w:left="0" w:right="0"/>
        <w:jc w:val="center"/>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单位情况表</w:t>
      </w:r>
    </w:p>
    <w:tbl>
      <w:tblPr>
        <w:tblStyle w:val="10"/>
        <w:tblW w:w="89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58"/>
        <w:gridCol w:w="5049"/>
        <w:gridCol w:w="3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序号</w:t>
            </w:r>
          </w:p>
        </w:tc>
        <w:tc>
          <w:tcPr>
            <w:tcW w:w="5049"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单位名称</w:t>
            </w:r>
          </w:p>
        </w:tc>
        <w:tc>
          <w:tcPr>
            <w:tcW w:w="3057"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单位性质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eastAsia" w:ascii="仿宋_GB2312" w:eastAsia="仿宋_GB2312" w:cs="仿宋_GB2312"/>
                <w:color w:val="auto"/>
                <w:kern w:val="2"/>
                <w:sz w:val="32"/>
                <w:szCs w:val="32"/>
                <w:lang w:val="en-US" w:eastAsia="zh-CN"/>
              </w:rPr>
            </w:pPr>
            <w:r>
              <w:rPr>
                <w:rFonts w:hint="eastAsia" w:ascii="仿宋_GB2312" w:eastAsia="仿宋_GB2312" w:cs="仿宋_GB2312"/>
                <w:color w:val="auto"/>
                <w:kern w:val="2"/>
                <w:sz w:val="32"/>
                <w:szCs w:val="32"/>
                <w:lang w:val="en-US" w:eastAsia="zh-CN"/>
              </w:rPr>
              <w:t>1</w:t>
            </w:r>
          </w:p>
        </w:tc>
        <w:tc>
          <w:tcPr>
            <w:tcW w:w="5049"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鄂尔多斯市个体劳动者私营企业协会</w:t>
            </w:r>
          </w:p>
        </w:tc>
        <w:tc>
          <w:tcPr>
            <w:tcW w:w="3057"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财政全额拨款事业单位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eastAsia" w:ascii="仿宋_GB2312" w:eastAsia="仿宋_GB2312" w:cs="仿宋_GB2312"/>
                <w:color w:val="auto"/>
                <w:kern w:val="2"/>
                <w:sz w:val="32"/>
                <w:szCs w:val="32"/>
              </w:rPr>
            </w:pPr>
          </w:p>
        </w:tc>
        <w:tc>
          <w:tcPr>
            <w:tcW w:w="5049"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eastAsia" w:ascii="仿宋_GB2312" w:eastAsia="仿宋_GB2312" w:cs="仿宋_GB2312"/>
                <w:color w:val="auto"/>
                <w:kern w:val="2"/>
                <w:sz w:val="32"/>
                <w:szCs w:val="32"/>
              </w:rPr>
            </w:pPr>
          </w:p>
        </w:tc>
        <w:tc>
          <w:tcPr>
            <w:tcW w:w="3057"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jc w:val="left"/>
              <w:rPr>
                <w:rFonts w:hint="eastAsia" w:ascii="仿宋_GB2312" w:eastAsia="仿宋_GB2312" w:cs="仿宋_GB2312"/>
                <w:color w:val="auto"/>
                <w:kern w:val="2"/>
                <w:sz w:val="32"/>
                <w:szCs w:val="32"/>
              </w:rPr>
            </w:pPr>
          </w:p>
        </w:tc>
      </w:tr>
    </w:tbl>
    <w:p>
      <w:pPr>
        <w:keepNext w:val="0"/>
        <w:keepLines w:val="0"/>
        <w:widowControl/>
        <w:suppressLineNumbers w:val="0"/>
        <w:spacing w:before="0" w:beforeLines="0" w:beforeAutospacing="0" w:after="0" w:afterLines="0" w:afterAutospacing="0" w:line="580" w:lineRule="exact"/>
        <w:ind w:left="0" w:right="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 xml:space="preserve"> </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b/>
          <w:color w:val="auto"/>
          <w:kern w:val="2"/>
          <w:sz w:val="32"/>
          <w:szCs w:val="32"/>
        </w:rPr>
      </w:pPr>
      <w:r>
        <w:rPr>
          <w:rFonts w:hint="eastAsia" w:ascii="仿宋_GB2312" w:eastAsia="仿宋_GB2312" w:cs="仿宋_GB2312"/>
          <w:b/>
          <w:color w:val="auto"/>
          <w:kern w:val="2"/>
          <w:sz w:val="32"/>
          <w:szCs w:val="32"/>
        </w:rPr>
        <w:t>第二部分 2019年度部门决算情况说明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一、关于2019年度预算执行情况分析</w:t>
      </w:r>
    </w:p>
    <w:p>
      <w:pPr>
        <w:keepNext w:val="0"/>
        <w:keepLines w:val="0"/>
        <w:widowControl/>
        <w:suppressLineNumbers w:val="0"/>
        <w:spacing w:before="0" w:beforeLines="0" w:beforeAutospacing="0" w:after="0" w:afterLines="0" w:afterAutospacing="0" w:line="580" w:lineRule="exact"/>
        <w:ind w:left="0" w:right="0" w:firstLine="60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lang w:val="en-US" w:eastAsia="zh-CN"/>
        </w:rPr>
        <w:t>收入预算56.75 万元，完成年初预算56.75万元，完成预算100%。支出预算56.75万元，比上年预算增加 10.91万元，上升23.80%，主要是机构人员增加及工资调整，人员经费增加</w:t>
      </w:r>
      <w:r>
        <w:rPr>
          <w:rFonts w:hint="eastAsia" w:ascii="仿宋_GB2312" w:eastAsia="仿宋_GB2312" w:cs="仿宋_GB2312"/>
          <w:color w:val="auto"/>
          <w:kern w:val="2"/>
          <w:sz w:val="32"/>
          <w:szCs w:val="32"/>
        </w:rPr>
        <w:t>。</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二、关于2019年度决算情况说明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ascii="楷体" w:hAnsi="楷体" w:eastAsia="楷体" w:cs="楷体"/>
          <w:color w:val="auto"/>
          <w:kern w:val="2"/>
          <w:sz w:val="32"/>
          <w:szCs w:val="32"/>
        </w:rPr>
        <w:t>（一）关于收支情况总体说明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收入总计58.78万元，其中：本年收入合计56.75万元，用事业基金弥补收支差额2.02万元，年初结转和结余0.00万元；支出总计58.78万元，其中：结余分配0.00万元，年末结转和结余0.00万元。与2018年度相比，收入总计增加12.94万元，增长28.20%；支出总计增加12.94万元，增长28.20%。主要原因：</w:t>
      </w:r>
      <w:r>
        <w:rPr>
          <w:rFonts w:hint="eastAsia" w:ascii="仿宋_GB2312" w:eastAsia="仿宋_GB2312" w:cs="仿宋_GB2312"/>
          <w:color w:val="auto"/>
          <w:kern w:val="2"/>
          <w:sz w:val="32"/>
          <w:szCs w:val="32"/>
          <w:lang w:val="en-US" w:eastAsia="zh-CN"/>
        </w:rPr>
        <w:t>机构人员增加及工资调整，人员经费增加</w:t>
      </w:r>
      <w:r>
        <w:rPr>
          <w:rFonts w:hint="eastAsia" w:ascii="仿宋_GB2312" w:eastAsia="仿宋_GB2312" w:cs="仿宋_GB2312"/>
          <w:color w:val="auto"/>
          <w:kern w:val="2"/>
          <w:sz w:val="32"/>
          <w:szCs w:val="32"/>
        </w:rPr>
        <w:t>。</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楷体" w:hAnsi="楷体" w:eastAsia="楷体" w:cs="楷体"/>
          <w:color w:val="auto"/>
          <w:kern w:val="2"/>
          <w:sz w:val="32"/>
          <w:szCs w:val="32"/>
        </w:rPr>
        <w:t>（二）关于2019年度收入决算情况说明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本部门2019年度收入合计56.75万元，其中：财政拨款收入56.75万元，占100.00%；事业收入0.00万元，占0.00%；经营收入0.00万元，占0.00%；其他收入0.00万元，占0.00%。</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楷体" w:hAnsi="楷体" w:eastAsia="楷体" w:cs="楷体"/>
          <w:color w:val="auto"/>
          <w:kern w:val="2"/>
          <w:sz w:val="32"/>
          <w:szCs w:val="32"/>
        </w:rPr>
        <w:t>（三）关于2019年度支出决算情况说明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本部门2019年度支出合计58.78万元，其中：基本支出51.75万元，占88.00%；项目支出7.03万元，占12.00%；经营支出0.00万元，占0.00%。</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楷体" w:hAnsi="楷体" w:eastAsia="楷体" w:cs="楷体"/>
          <w:color w:val="auto"/>
          <w:kern w:val="2"/>
          <w:sz w:val="32"/>
          <w:szCs w:val="32"/>
        </w:rPr>
        <w:t>（四）关于2019年度财政拨款收入支出决算总体情况说明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财政拨款收入总计56.75万元，其中：年初结转和结余0.00万元；支出总计56.75万元，其中：年末结转和结余0.00万元。与2018年度相比，收入增加10.91万元，增长23.80%；支出增加10.91万元，增长23.80%。主要原因：</w:t>
      </w:r>
      <w:r>
        <w:rPr>
          <w:rFonts w:hint="eastAsia" w:ascii="仿宋_GB2312" w:eastAsia="仿宋_GB2312" w:cs="仿宋_GB2312"/>
          <w:color w:val="auto"/>
          <w:kern w:val="2"/>
          <w:sz w:val="32"/>
          <w:szCs w:val="32"/>
          <w:lang w:val="en-US" w:eastAsia="zh-CN"/>
        </w:rPr>
        <w:t>机构人员增加及工资调整，人员经费增加</w:t>
      </w:r>
      <w:r>
        <w:rPr>
          <w:rFonts w:hint="eastAsia" w:ascii="仿宋_GB2312" w:eastAsia="仿宋_GB2312" w:cs="仿宋_GB2312"/>
          <w:color w:val="auto"/>
          <w:kern w:val="2"/>
          <w:sz w:val="32"/>
          <w:szCs w:val="32"/>
        </w:rPr>
        <w:t>。</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楷体" w:hAnsi="楷体" w:eastAsia="楷体" w:cs="楷体"/>
          <w:color w:val="auto"/>
          <w:kern w:val="2"/>
          <w:sz w:val="32"/>
          <w:szCs w:val="32"/>
        </w:rPr>
        <w:t>（五）关于2019年度一般公共预算财政拨款支出决算情况说明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本部门2019年度一般公共预算财政拨款支出合计56.75万元，其中：基本支出49.72万元，占87.60%；项目支出7.03万元，占12.40%。</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楷体" w:hAnsi="楷体" w:eastAsia="楷体" w:cs="楷体"/>
          <w:color w:val="auto"/>
          <w:kern w:val="2"/>
          <w:sz w:val="32"/>
          <w:szCs w:val="32"/>
        </w:rPr>
        <w:t>（六）关于2019年度一般公共预算财政拨款基本支出决算情况说明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本部门2019年度一般公共预算财政拨款基本支出49.72万元，其中：人员经费45.11万元，主要包括：工资福利、商品和服务、对个人和家庭的补助，较上年增加4.75万元，主要原因是：</w:t>
      </w:r>
      <w:r>
        <w:rPr>
          <w:rFonts w:hint="eastAsia" w:ascii="仿宋_GB2312" w:eastAsia="仿宋_GB2312" w:cs="仿宋_GB2312"/>
          <w:color w:val="auto"/>
          <w:kern w:val="2"/>
          <w:sz w:val="32"/>
          <w:szCs w:val="32"/>
          <w:lang w:val="en-US" w:eastAsia="zh-CN"/>
        </w:rPr>
        <w:t>机构人员增加及工资调整，人员经费增加</w:t>
      </w:r>
      <w:r>
        <w:rPr>
          <w:rFonts w:hint="eastAsia" w:ascii="仿宋_GB2312" w:eastAsia="仿宋_GB2312" w:cs="仿宋_GB2312"/>
          <w:color w:val="auto"/>
          <w:kern w:val="2"/>
          <w:sz w:val="32"/>
          <w:szCs w:val="32"/>
        </w:rPr>
        <w:t>；公用经费4.61万元，主要包括：</w:t>
      </w:r>
      <w:r>
        <w:rPr>
          <w:rFonts w:hint="eastAsia" w:ascii="仿宋_GB2312" w:eastAsia="仿宋_GB2312" w:cs="仿宋_GB2312"/>
          <w:color w:val="auto"/>
          <w:kern w:val="2"/>
          <w:sz w:val="32"/>
          <w:szCs w:val="32"/>
          <w:lang w:val="en-US" w:eastAsia="zh-CN"/>
        </w:rPr>
        <w:t>商品和服务支出</w:t>
      </w:r>
      <w:r>
        <w:rPr>
          <w:rFonts w:hint="eastAsia" w:ascii="仿宋_GB2312" w:eastAsia="仿宋_GB2312" w:cs="仿宋_GB2312"/>
          <w:color w:val="auto"/>
          <w:kern w:val="2"/>
          <w:sz w:val="32"/>
          <w:szCs w:val="32"/>
        </w:rPr>
        <w:t>，较上年增加0.65万元，主要原因是：</w:t>
      </w:r>
      <w:r>
        <w:rPr>
          <w:rFonts w:hint="eastAsia" w:ascii="仿宋_GB2312" w:eastAsia="仿宋_GB2312" w:cs="仿宋_GB2312"/>
          <w:color w:val="auto"/>
          <w:kern w:val="2"/>
          <w:sz w:val="32"/>
          <w:szCs w:val="32"/>
          <w:lang w:val="en-US" w:eastAsia="zh-CN"/>
        </w:rPr>
        <w:t>单位人员增加，日常支出增多。</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楷体" w:hAnsi="楷体" w:eastAsia="楷体" w:cs="楷体"/>
          <w:color w:val="auto"/>
          <w:kern w:val="2"/>
          <w:sz w:val="32"/>
          <w:szCs w:val="32"/>
        </w:rPr>
        <w:t>（七）关于2019年度财政拨款</w:t>
      </w:r>
      <w:r>
        <w:rPr>
          <w:rFonts w:hint="default" w:ascii="Times New Roman" w:hAnsi="Times New Roman" w:cs="Times New Roman"/>
          <w:color w:val="auto"/>
          <w:kern w:val="2"/>
          <w:sz w:val="32"/>
          <w:szCs w:val="32"/>
        </w:rPr>
        <w:t>“</w:t>
      </w:r>
      <w:r>
        <w:rPr>
          <w:rFonts w:hint="eastAsia" w:ascii="楷体" w:hAnsi="楷体" w:eastAsia="楷体" w:cs="楷体"/>
          <w:color w:val="auto"/>
          <w:kern w:val="2"/>
          <w:sz w:val="32"/>
          <w:szCs w:val="32"/>
        </w:rPr>
        <w:t>三公</w:t>
      </w:r>
      <w:r>
        <w:rPr>
          <w:rFonts w:hint="default" w:ascii="Times New Roman" w:hAnsi="Times New Roman" w:cs="Times New Roman"/>
          <w:color w:val="auto"/>
          <w:kern w:val="2"/>
          <w:sz w:val="32"/>
          <w:szCs w:val="32"/>
        </w:rPr>
        <w:t>”</w:t>
      </w:r>
      <w:r>
        <w:rPr>
          <w:rFonts w:hint="eastAsia" w:ascii="楷体" w:hAnsi="楷体" w:eastAsia="楷体" w:cs="楷体"/>
          <w:color w:val="auto"/>
          <w:kern w:val="2"/>
          <w:sz w:val="32"/>
          <w:szCs w:val="32"/>
        </w:rPr>
        <w:t>经费支出决算情况说明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1、财政拨款</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三公</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经费支出决算总体情况说明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本部门2019年度财政拨款</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三公</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经费预算为0.00万元，支出决算为0.00万元，完成预算的0.00%，其中：因公出国（境）费预算为0.00万元，支出决算为0.00万元，完成预算的0.00%；公务用车购置及运行维护费预算为0.00万元，支出决算为0.00万元，完成预算的0.00%；公务接待费预算为0.00万元，支出决算为0.00万元，完成预算的0.00%。</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2、财政拨款</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三公</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经费支出决算具体情况说明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本部门2019年度财政拨款</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三公</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经费支出0.00万元，因公出国（境）费支出0.00万元，占0.00%；公务用车购置及运行维护费支出0.00万元，占0.00%；公务接待费支出0.00万元，占0.00%。具体情况如下：</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b/>
          <w:color w:val="auto"/>
          <w:kern w:val="2"/>
          <w:sz w:val="32"/>
          <w:szCs w:val="32"/>
        </w:rPr>
        <w:t>因公出国（境）费支出</w:t>
      </w:r>
      <w:r>
        <w:rPr>
          <w:rFonts w:hint="eastAsia" w:ascii="仿宋_GB2312" w:eastAsia="仿宋_GB2312" w:cs="仿宋_GB2312"/>
          <w:color w:val="auto"/>
          <w:kern w:val="2"/>
          <w:sz w:val="32"/>
          <w:szCs w:val="32"/>
        </w:rPr>
        <w:t>0.00万元。全年因公出国（境）团组0个，累计0人次。较上年增加0.00万元，增加0.00%。</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b/>
          <w:color w:val="auto"/>
          <w:kern w:val="2"/>
          <w:sz w:val="32"/>
          <w:szCs w:val="32"/>
        </w:rPr>
        <w:t>公务用车购置及运行维护费支出</w:t>
      </w:r>
      <w:r>
        <w:rPr>
          <w:rFonts w:hint="eastAsia" w:ascii="仿宋_GB2312" w:eastAsia="仿宋_GB2312" w:cs="仿宋_GB2312"/>
          <w:color w:val="auto"/>
          <w:kern w:val="2"/>
          <w:sz w:val="32"/>
          <w:szCs w:val="32"/>
        </w:rPr>
        <w:t>0.00万元。其中：公务用车购置支出0.00万元，车均购置费0.00万元，较上年增加0.00万元，增加0.00%。公务用车运行维护费支出0.00万元，车均运维费0.00万元，较上年增加0.00万元，增加0.00%，财政拨款开支的公务用车保有量为0辆。</w:t>
      </w:r>
    </w:p>
    <w:p>
      <w:pPr>
        <w:keepNext w:val="0"/>
        <w:keepLines w:val="0"/>
        <w:widowControl/>
        <w:suppressLineNumbers w:val="0"/>
        <w:spacing w:before="0" w:beforeLines="0" w:beforeAutospacing="0" w:after="0" w:afterLines="0" w:afterAutospacing="0" w:line="580" w:lineRule="exact"/>
        <w:ind w:left="0" w:right="0" w:firstLine="600"/>
        <w:rPr>
          <w:rFonts w:hint="eastAsia" w:ascii="仿宋_GB2312" w:hAnsi="仿宋_GB2312" w:eastAsia="仿宋_GB2312" w:cs="仿宋_GB2312"/>
          <w:color w:val="auto"/>
          <w:kern w:val="2"/>
          <w:sz w:val="24"/>
          <w:szCs w:val="24"/>
        </w:rPr>
      </w:pPr>
      <w:r>
        <w:rPr>
          <w:rFonts w:hint="eastAsia" w:ascii="仿宋_GB2312" w:eastAsia="仿宋_GB2312" w:cs="仿宋_GB2312"/>
          <w:b/>
          <w:color w:val="auto"/>
          <w:kern w:val="2"/>
          <w:sz w:val="32"/>
          <w:szCs w:val="32"/>
        </w:rPr>
        <w:t>公务接待费支出</w:t>
      </w:r>
      <w:r>
        <w:rPr>
          <w:rFonts w:hint="eastAsia" w:ascii="仿宋_GB2312" w:eastAsia="仿宋_GB2312" w:cs="仿宋_GB2312"/>
          <w:color w:val="auto"/>
          <w:kern w:val="2"/>
          <w:sz w:val="32"/>
          <w:szCs w:val="32"/>
        </w:rPr>
        <w:t>0.00万元。其中：国内公务接待费0.00万元，接待0批次，共接待0人次。国（境）外接待费0.00万元，接待0批次，共接待0人次。较上年增加0.00万元，增加0.00%，</w:t>
      </w:r>
    </w:p>
    <w:p>
      <w:pPr>
        <w:keepNext w:val="0"/>
        <w:keepLines w:val="0"/>
        <w:widowControl/>
        <w:suppressLineNumbers w:val="0"/>
        <w:spacing w:before="0" w:beforeLines="0" w:beforeAutospacing="0" w:after="0" w:afterLines="0" w:afterAutospacing="0" w:line="580" w:lineRule="exact"/>
        <w:ind w:left="0" w:right="0" w:firstLine="600"/>
        <w:rPr>
          <w:rFonts w:hint="default" w:ascii="楷体_GB2312" w:eastAsia="楷体_GB2312" w:cs="楷体_GB2312"/>
          <w:color w:val="auto"/>
          <w:kern w:val="2"/>
          <w:sz w:val="32"/>
          <w:szCs w:val="32"/>
        </w:rPr>
      </w:pPr>
      <w:r>
        <w:rPr>
          <w:rFonts w:ascii="楷体_GB2312" w:eastAsia="楷体_GB2312" w:cs="楷体_GB2312"/>
          <w:color w:val="auto"/>
          <w:kern w:val="2"/>
          <w:sz w:val="32"/>
          <w:szCs w:val="32"/>
        </w:rPr>
        <w:t>（八）关于</w:t>
      </w:r>
      <w:r>
        <w:rPr>
          <w:rFonts w:hint="default" w:ascii="楷体_GB2312" w:eastAsia="楷体_GB2312" w:cs="楷体_GB2312"/>
          <w:color w:val="auto"/>
          <w:kern w:val="2"/>
          <w:sz w:val="32"/>
          <w:szCs w:val="32"/>
        </w:rPr>
        <w:t>2019年度政府性预算财政拨款支出决算情况说明</w:t>
      </w:r>
    </w:p>
    <w:p>
      <w:pPr>
        <w:keepNext w:val="0"/>
        <w:keepLines w:val="0"/>
        <w:widowControl/>
        <w:suppressLineNumbers w:val="0"/>
        <w:spacing w:before="0" w:beforeLines="0" w:beforeAutospacing="0" w:after="0" w:afterLines="0" w:afterAutospacing="0" w:line="580" w:lineRule="exact"/>
        <w:ind w:left="0" w:right="0" w:firstLine="60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本部门2019年度政府性基金预算财政拨款支出合计0.00万元，其中：基本支出0.00万元，项目支出0.00万元，比上年增加0.00万元，增长0.00%。</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三、预算绩效情况说明</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（一）预算绩效管理工作开展情况</w:t>
      </w:r>
    </w:p>
    <w:p>
      <w:pPr>
        <w:keepNext w:val="0"/>
        <w:keepLines w:val="0"/>
        <w:widowControl/>
        <w:suppressLineNumbers w:val="0"/>
        <w:spacing w:before="0" w:beforeLines="0" w:beforeAutospacing="0" w:after="0" w:afterLines="0" w:afterAutospacing="0" w:line="580" w:lineRule="exact"/>
        <w:ind w:left="0" w:right="0" w:firstLine="600"/>
        <w:rPr>
          <w:rFonts w:hint="eastAsia" w:ascii="仿宋_GB2312" w:eastAsia="仿宋_GB2312" w:cs="仿宋_GB2312"/>
          <w:color w:val="auto"/>
          <w:kern w:val="2"/>
          <w:sz w:val="32"/>
          <w:szCs w:val="32"/>
          <w:lang w:val="en-US" w:eastAsia="zh-CN"/>
        </w:rPr>
      </w:pPr>
      <w:r>
        <w:rPr>
          <w:rFonts w:hint="eastAsia" w:ascii="仿宋_GB2312" w:eastAsia="仿宋_GB2312" w:cs="仿宋_GB2312"/>
          <w:color w:val="auto"/>
          <w:kern w:val="2"/>
          <w:sz w:val="32"/>
          <w:szCs w:val="32"/>
          <w:lang w:val="en-US" w:eastAsia="zh-CN"/>
        </w:rPr>
        <w:t>根据预算绩效管理要求，鄂尔多斯市个体劳动者私营企业协会组织对 2019 年度业务技术培训经费开展绩效自评，涉及资金10万元。</w:t>
      </w:r>
    </w:p>
    <w:p>
      <w:pPr>
        <w:keepNext w:val="0"/>
        <w:keepLines w:val="0"/>
        <w:widowControl/>
        <w:suppressLineNumbers w:val="0"/>
        <w:spacing w:before="0" w:beforeLines="0" w:beforeAutospacing="0" w:after="0" w:afterLines="0" w:afterAutospacing="0" w:line="580" w:lineRule="exact"/>
        <w:ind w:left="0" w:right="0" w:firstLine="600"/>
        <w:rPr>
          <w:rFonts w:hint="default" w:ascii="仿宋_GB2312" w:eastAsia="仿宋_GB2312" w:cs="仿宋_GB2312"/>
          <w:color w:val="auto"/>
          <w:kern w:val="2"/>
          <w:sz w:val="32"/>
          <w:szCs w:val="32"/>
          <w:lang w:val="en-US" w:eastAsia="zh-CN"/>
        </w:rPr>
      </w:pPr>
      <w:r>
        <w:rPr>
          <w:rFonts w:hint="eastAsia" w:ascii="仿宋_GB2312" w:eastAsia="仿宋_GB2312" w:cs="仿宋_GB2312"/>
          <w:color w:val="auto"/>
          <w:kern w:val="2"/>
          <w:sz w:val="32"/>
          <w:szCs w:val="32"/>
          <w:lang w:val="en-US" w:eastAsia="zh-CN"/>
        </w:rPr>
        <w:t>2019年鄂尔多斯市个体劳动者私营企业协会积极举办各类培训讲座，为个体及中小企业争取小额低息贷款等福利，并举办了各类书画摄影展，表彰了先进个私企业。</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（二）部门决算中项目绩效自评结果</w:t>
      </w:r>
    </w:p>
    <w:p>
      <w:pPr>
        <w:keepNext w:val="0"/>
        <w:keepLines w:val="0"/>
        <w:widowControl/>
        <w:suppressLineNumbers w:val="0"/>
        <w:spacing w:before="0" w:beforeLines="0" w:beforeAutospacing="0" w:after="0" w:afterLines="0" w:afterAutospacing="0" w:line="580" w:lineRule="exact"/>
        <w:ind w:left="0" w:right="0" w:firstLine="600"/>
        <w:rPr>
          <w:rFonts w:hint="eastAsia" w:ascii="仿宋_GB2312" w:eastAsia="仿宋_GB2312" w:cs="仿宋_GB2312"/>
          <w:color w:val="auto"/>
          <w:kern w:val="2"/>
          <w:sz w:val="32"/>
          <w:szCs w:val="32"/>
          <w:lang w:val="en-US" w:eastAsia="zh-CN"/>
        </w:rPr>
      </w:pPr>
      <w:r>
        <w:rPr>
          <w:rFonts w:hint="eastAsia" w:ascii="仿宋_GB2312" w:eastAsia="仿宋_GB2312" w:cs="仿宋_GB2312"/>
          <w:color w:val="auto"/>
          <w:kern w:val="2"/>
          <w:sz w:val="32"/>
          <w:szCs w:val="32"/>
          <w:lang w:val="en-US" w:eastAsia="zh-CN"/>
        </w:rPr>
        <w:t>通过举办各类培训讲座等活动，为全市个体及中小微企业创造了良好的发展空间，教育和引导个体户、私营企业诚信守法经营、文明优质服务，维护个体户、私营企业的合法权益，提高个体户、私营企业的社会地位，促进个体、私营经济健康发展。</w:t>
      </w:r>
    </w:p>
    <w:tbl>
      <w:tblPr>
        <w:tblStyle w:val="10"/>
        <w:tblW w:w="8613" w:type="dxa"/>
        <w:tblInd w:w="0" w:type="dxa"/>
        <w:tblLayout w:type="fixed"/>
        <w:tblCellMar>
          <w:top w:w="0" w:type="dxa"/>
          <w:left w:w="108" w:type="dxa"/>
          <w:bottom w:w="0" w:type="dxa"/>
          <w:right w:w="108" w:type="dxa"/>
        </w:tblCellMar>
      </w:tblPr>
      <w:tblGrid>
        <w:gridCol w:w="567"/>
        <w:gridCol w:w="605"/>
        <w:gridCol w:w="570"/>
        <w:gridCol w:w="568"/>
        <w:gridCol w:w="656"/>
        <w:gridCol w:w="691"/>
        <w:gridCol w:w="284"/>
        <w:gridCol w:w="646"/>
        <w:gridCol w:w="864"/>
        <w:gridCol w:w="440"/>
        <w:gridCol w:w="174"/>
        <w:gridCol w:w="322"/>
        <w:gridCol w:w="300"/>
        <w:gridCol w:w="729"/>
        <w:gridCol w:w="544"/>
        <w:gridCol w:w="653"/>
      </w:tblGrid>
      <w:tr>
        <w:tblPrEx>
          <w:tblCellMar>
            <w:top w:w="0" w:type="dxa"/>
            <w:left w:w="108" w:type="dxa"/>
            <w:bottom w:w="0" w:type="dxa"/>
            <w:right w:w="108" w:type="dxa"/>
          </w:tblCellMar>
        </w:tblPrEx>
        <w:trPr>
          <w:trHeight w:val="480" w:hRule="atLeast"/>
        </w:trPr>
        <w:tc>
          <w:tcPr>
            <w:tcW w:w="8613" w:type="dxa"/>
            <w:gridSpan w:val="16"/>
            <w:tcBorders>
              <w:top w:val="nil"/>
              <w:left w:val="nil"/>
              <w:bottom w:val="nil"/>
              <w:right w:val="nil"/>
            </w:tcBorders>
            <w:noWrap w:val="0"/>
            <w:vAlign w:val="center"/>
          </w:tcPr>
          <w:p>
            <w:pPr>
              <w:spacing w:line="240" w:lineRule="exact"/>
              <w:jc w:val="center"/>
              <w:rPr>
                <w:b/>
                <w:bCs/>
                <w:color w:val="000000"/>
                <w:sz w:val="21"/>
                <w:szCs w:val="21"/>
              </w:rPr>
            </w:pPr>
            <w:r>
              <w:rPr>
                <w:rFonts w:hint="eastAsia"/>
                <w:b/>
                <w:bCs/>
                <w:color w:val="000000"/>
                <w:sz w:val="21"/>
                <w:szCs w:val="21"/>
              </w:rPr>
              <w:t xml:space="preserve">绩效目标自评表 </w:t>
            </w:r>
          </w:p>
        </w:tc>
      </w:tr>
      <w:tr>
        <w:tblPrEx>
          <w:tblCellMar>
            <w:top w:w="0" w:type="dxa"/>
            <w:left w:w="108" w:type="dxa"/>
            <w:bottom w:w="0" w:type="dxa"/>
            <w:right w:w="108" w:type="dxa"/>
          </w:tblCellMar>
        </w:tblPrEx>
        <w:trPr>
          <w:trHeight w:val="270" w:hRule="atLeast"/>
        </w:trPr>
        <w:tc>
          <w:tcPr>
            <w:tcW w:w="8613" w:type="dxa"/>
            <w:gridSpan w:val="16"/>
            <w:tcBorders>
              <w:top w:val="nil"/>
              <w:left w:val="nil"/>
              <w:bottom w:val="single" w:color="000000" w:sz="4" w:space="0"/>
              <w:right w:val="nil"/>
            </w:tcBorders>
            <w:noWrap w:val="0"/>
            <w:vAlign w:val="top"/>
          </w:tcPr>
          <w:p>
            <w:pPr>
              <w:spacing w:line="240" w:lineRule="exact"/>
              <w:jc w:val="center"/>
              <w:rPr>
                <w:b/>
                <w:bCs/>
                <w:color w:val="000000"/>
                <w:sz w:val="21"/>
                <w:szCs w:val="21"/>
              </w:rPr>
            </w:pPr>
            <w:r>
              <w:rPr>
                <w:rFonts w:hint="eastAsia"/>
                <w:b/>
                <w:bCs/>
                <w:color w:val="000000"/>
                <w:sz w:val="21"/>
                <w:szCs w:val="21"/>
              </w:rPr>
              <w:t>（2019年度）</w:t>
            </w:r>
          </w:p>
        </w:tc>
      </w:tr>
      <w:tr>
        <w:tblPrEx>
          <w:tblCellMar>
            <w:top w:w="0" w:type="dxa"/>
            <w:left w:w="108" w:type="dxa"/>
            <w:bottom w:w="0" w:type="dxa"/>
            <w:right w:w="108" w:type="dxa"/>
          </w:tblCellMar>
        </w:tblPrEx>
        <w:trPr>
          <w:trHeight w:val="489" w:hRule="exact"/>
        </w:trPr>
        <w:tc>
          <w:tcPr>
            <w:tcW w:w="17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项目名称</w:t>
            </w:r>
          </w:p>
        </w:tc>
        <w:tc>
          <w:tcPr>
            <w:tcW w:w="2845" w:type="dxa"/>
            <w:gridSpan w:val="5"/>
            <w:tcBorders>
              <w:top w:val="single" w:color="000000" w:sz="4" w:space="0"/>
              <w:left w:val="nil"/>
              <w:bottom w:val="single" w:color="000000" w:sz="4" w:space="0"/>
              <w:right w:val="single" w:color="000000" w:sz="4" w:space="0"/>
            </w:tcBorders>
            <w:noWrap w:val="0"/>
            <w:vAlign w:val="center"/>
          </w:tcPr>
          <w:p>
            <w:pPr>
              <w:spacing w:line="160" w:lineRule="exact"/>
              <w:jc w:val="center"/>
              <w:rPr>
                <w:rFonts w:hint="eastAsia" w:eastAsia="宋体"/>
                <w:b/>
                <w:bCs/>
                <w:color w:val="000000"/>
                <w:sz w:val="18"/>
                <w:szCs w:val="18"/>
                <w:lang w:eastAsia="zh-CN"/>
              </w:rPr>
            </w:pPr>
            <w:r>
              <w:rPr>
                <w:rFonts w:hint="eastAsia" w:eastAsia="宋体"/>
                <w:b/>
                <w:bCs/>
                <w:color w:val="000000"/>
                <w:sz w:val="18"/>
                <w:szCs w:val="18"/>
                <w:lang w:eastAsia="zh-CN"/>
              </w:rPr>
              <w:t>业务技术培训经费</w:t>
            </w:r>
          </w:p>
        </w:tc>
        <w:tc>
          <w:tcPr>
            <w:tcW w:w="130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项目负责人及电话</w:t>
            </w:r>
          </w:p>
        </w:tc>
        <w:tc>
          <w:tcPr>
            <w:tcW w:w="2722" w:type="dxa"/>
            <w:gridSpan w:val="6"/>
            <w:tcBorders>
              <w:top w:val="single" w:color="000000" w:sz="4" w:space="0"/>
              <w:left w:val="nil"/>
              <w:bottom w:val="single" w:color="000000" w:sz="4" w:space="0"/>
              <w:right w:val="single" w:color="000000" w:sz="4" w:space="0"/>
            </w:tcBorders>
            <w:noWrap w:val="0"/>
            <w:vAlign w:val="center"/>
          </w:tcPr>
          <w:p>
            <w:pPr>
              <w:spacing w:line="160" w:lineRule="exact"/>
              <w:jc w:val="center"/>
              <w:rPr>
                <w:rFonts w:hint="default" w:eastAsia="宋体"/>
                <w:b/>
                <w:bCs/>
                <w:color w:val="000000"/>
                <w:sz w:val="18"/>
                <w:szCs w:val="18"/>
                <w:lang w:val="en-US" w:eastAsia="zh-CN"/>
              </w:rPr>
            </w:pPr>
            <w:r>
              <w:rPr>
                <w:rFonts w:hint="eastAsia"/>
                <w:b/>
                <w:bCs/>
                <w:color w:val="000000"/>
                <w:sz w:val="18"/>
                <w:szCs w:val="18"/>
                <w:lang w:val="en-US" w:eastAsia="zh-CN"/>
              </w:rPr>
              <w:t>高媛媛8107043</w:t>
            </w:r>
          </w:p>
        </w:tc>
      </w:tr>
      <w:tr>
        <w:tblPrEx>
          <w:tblCellMar>
            <w:top w:w="0" w:type="dxa"/>
            <w:left w:w="108" w:type="dxa"/>
            <w:bottom w:w="0" w:type="dxa"/>
            <w:right w:w="108" w:type="dxa"/>
          </w:tblCellMar>
        </w:tblPrEx>
        <w:trPr>
          <w:trHeight w:val="654" w:hRule="exact"/>
        </w:trPr>
        <w:tc>
          <w:tcPr>
            <w:tcW w:w="174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主管部门</w:t>
            </w:r>
          </w:p>
        </w:tc>
        <w:tc>
          <w:tcPr>
            <w:tcW w:w="2845" w:type="dxa"/>
            <w:gridSpan w:val="5"/>
            <w:tcBorders>
              <w:top w:val="single" w:color="000000" w:sz="4" w:space="0"/>
              <w:left w:val="nil"/>
              <w:bottom w:val="single" w:color="000000" w:sz="4" w:space="0"/>
              <w:right w:val="single" w:color="000000" w:sz="4" w:space="0"/>
            </w:tcBorders>
            <w:noWrap w:val="0"/>
            <w:vAlign w:val="center"/>
          </w:tcPr>
          <w:p>
            <w:pPr>
              <w:spacing w:line="160" w:lineRule="exact"/>
              <w:rPr>
                <w:rFonts w:hint="eastAsia" w:eastAsia="宋体"/>
                <w:b/>
                <w:bCs/>
                <w:color w:val="000000"/>
                <w:sz w:val="18"/>
                <w:szCs w:val="18"/>
                <w:lang w:eastAsia="zh-CN"/>
              </w:rPr>
            </w:pPr>
            <w:r>
              <w:rPr>
                <w:rFonts w:hint="eastAsia" w:eastAsia="宋体"/>
                <w:b/>
                <w:bCs/>
                <w:color w:val="000000"/>
                <w:sz w:val="18"/>
                <w:szCs w:val="18"/>
                <w:lang w:eastAsia="zh-CN"/>
              </w:rPr>
              <w:t>鄂尔多斯市个体劳动者私营企业管理协会</w:t>
            </w:r>
          </w:p>
        </w:tc>
        <w:tc>
          <w:tcPr>
            <w:tcW w:w="130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实施单位</w:t>
            </w:r>
          </w:p>
        </w:tc>
        <w:tc>
          <w:tcPr>
            <w:tcW w:w="2722" w:type="dxa"/>
            <w:gridSpan w:val="6"/>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鄂尔多斯市个体劳动者私营企业管理协会</w:t>
            </w:r>
          </w:p>
        </w:tc>
      </w:tr>
      <w:tr>
        <w:tblPrEx>
          <w:tblCellMar>
            <w:top w:w="0" w:type="dxa"/>
            <w:left w:w="108" w:type="dxa"/>
            <w:bottom w:w="0" w:type="dxa"/>
            <w:right w:w="108" w:type="dxa"/>
          </w:tblCellMar>
        </w:tblPrEx>
        <w:trPr>
          <w:trHeight w:val="568" w:hRule="exact"/>
        </w:trPr>
        <w:tc>
          <w:tcPr>
            <w:tcW w:w="174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资金情况（万元）</w:t>
            </w:r>
          </w:p>
        </w:tc>
        <w:tc>
          <w:tcPr>
            <w:tcW w:w="1224" w:type="dxa"/>
            <w:gridSpan w:val="2"/>
            <w:tcBorders>
              <w:top w:val="single" w:color="000000" w:sz="4" w:space="0"/>
              <w:left w:val="nil"/>
              <w:bottom w:val="single" w:color="000000" w:sz="4" w:space="0"/>
              <w:right w:val="single" w:color="000000" w:sz="4" w:space="0"/>
            </w:tcBorders>
            <w:noWrap w:val="0"/>
            <w:vAlign w:val="center"/>
          </w:tcPr>
          <w:p>
            <w:pPr>
              <w:spacing w:line="160" w:lineRule="exact"/>
              <w:rPr>
                <w:b/>
                <w:bCs/>
                <w:color w:val="000000"/>
                <w:sz w:val="18"/>
                <w:szCs w:val="18"/>
              </w:rPr>
            </w:pPr>
            <w:r>
              <w:rPr>
                <w:rFonts w:hint="eastAsia"/>
                <w:b/>
                <w:bCs/>
                <w:color w:val="000000"/>
                <w:sz w:val="18"/>
                <w:szCs w:val="18"/>
              </w:rPr>
              <w:t>　</w:t>
            </w:r>
          </w:p>
        </w:tc>
        <w:tc>
          <w:tcPr>
            <w:tcW w:w="691" w:type="dxa"/>
            <w:tcBorders>
              <w:top w:val="nil"/>
              <w:left w:val="nil"/>
              <w:bottom w:val="single" w:color="000000" w:sz="4" w:space="0"/>
              <w:right w:val="single" w:color="000000" w:sz="4" w:space="0"/>
            </w:tcBorders>
            <w:noWrap w:val="0"/>
            <w:vAlign w:val="center"/>
          </w:tcPr>
          <w:p>
            <w:pPr>
              <w:spacing w:line="160" w:lineRule="exact"/>
              <w:rPr>
                <w:b/>
                <w:bCs/>
                <w:color w:val="000000"/>
                <w:sz w:val="18"/>
                <w:szCs w:val="18"/>
              </w:rPr>
            </w:pPr>
            <w:r>
              <w:rPr>
                <w:rFonts w:hint="eastAsia"/>
                <w:b/>
                <w:bCs/>
                <w:color w:val="000000"/>
                <w:sz w:val="18"/>
                <w:szCs w:val="18"/>
              </w:rPr>
              <w:t>年初预算数</w:t>
            </w:r>
          </w:p>
        </w:tc>
        <w:tc>
          <w:tcPr>
            <w:tcW w:w="930" w:type="dxa"/>
            <w:gridSpan w:val="2"/>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全年预算数（A）</w:t>
            </w:r>
          </w:p>
        </w:tc>
        <w:tc>
          <w:tcPr>
            <w:tcW w:w="130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全年执行数（B）</w:t>
            </w:r>
          </w:p>
        </w:tc>
        <w:tc>
          <w:tcPr>
            <w:tcW w:w="496" w:type="dxa"/>
            <w:gridSpan w:val="2"/>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分值</w:t>
            </w:r>
          </w:p>
        </w:tc>
        <w:tc>
          <w:tcPr>
            <w:tcW w:w="1573"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 xml:space="preserve">执行率（B/A) </w:t>
            </w:r>
          </w:p>
        </w:tc>
        <w:tc>
          <w:tcPr>
            <w:tcW w:w="653"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得分</w:t>
            </w:r>
          </w:p>
        </w:tc>
      </w:tr>
      <w:tr>
        <w:tblPrEx>
          <w:tblCellMar>
            <w:top w:w="0" w:type="dxa"/>
            <w:left w:w="108" w:type="dxa"/>
            <w:bottom w:w="0" w:type="dxa"/>
            <w:right w:w="108" w:type="dxa"/>
          </w:tblCellMar>
        </w:tblPrEx>
        <w:trPr>
          <w:trHeight w:val="424" w:hRule="exact"/>
        </w:trPr>
        <w:tc>
          <w:tcPr>
            <w:tcW w:w="174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224" w:type="dxa"/>
            <w:gridSpan w:val="2"/>
            <w:tcBorders>
              <w:top w:val="single" w:color="000000" w:sz="4" w:space="0"/>
              <w:left w:val="nil"/>
              <w:bottom w:val="single" w:color="000000" w:sz="4" w:space="0"/>
              <w:right w:val="single" w:color="000000" w:sz="4" w:space="0"/>
            </w:tcBorders>
            <w:noWrap w:val="0"/>
            <w:vAlign w:val="center"/>
          </w:tcPr>
          <w:p>
            <w:pPr>
              <w:spacing w:line="160" w:lineRule="exact"/>
              <w:rPr>
                <w:b/>
                <w:bCs/>
                <w:color w:val="000000"/>
                <w:sz w:val="18"/>
                <w:szCs w:val="18"/>
              </w:rPr>
            </w:pPr>
            <w:r>
              <w:rPr>
                <w:rFonts w:hint="eastAsia"/>
                <w:b/>
                <w:bCs/>
                <w:color w:val="000000"/>
                <w:sz w:val="18"/>
                <w:szCs w:val="18"/>
              </w:rPr>
              <w:t>年度资金总额：</w:t>
            </w:r>
          </w:p>
        </w:tc>
        <w:tc>
          <w:tcPr>
            <w:tcW w:w="691"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color w:val="000000"/>
                <w:sz w:val="18"/>
                <w:szCs w:val="18"/>
                <w:lang w:val="en-US" w:eastAsia="zh-CN"/>
              </w:rPr>
            </w:pPr>
            <w:r>
              <w:rPr>
                <w:rFonts w:hint="eastAsia"/>
                <w:color w:val="000000"/>
                <w:sz w:val="18"/>
                <w:szCs w:val="18"/>
                <w:lang w:val="en-US" w:eastAsia="zh-CN"/>
              </w:rPr>
              <w:t>10</w:t>
            </w:r>
          </w:p>
        </w:tc>
        <w:tc>
          <w:tcPr>
            <w:tcW w:w="930" w:type="dxa"/>
            <w:gridSpan w:val="2"/>
            <w:tcBorders>
              <w:top w:val="nil"/>
              <w:left w:val="nil"/>
              <w:bottom w:val="single" w:color="000000" w:sz="4" w:space="0"/>
              <w:right w:val="single" w:color="000000" w:sz="4" w:space="0"/>
            </w:tcBorders>
            <w:noWrap w:val="0"/>
            <w:vAlign w:val="center"/>
          </w:tcPr>
          <w:p>
            <w:pPr>
              <w:spacing w:line="160" w:lineRule="exact"/>
              <w:jc w:val="center"/>
              <w:rPr>
                <w:rFonts w:hint="default" w:eastAsia="宋体"/>
                <w:color w:val="000000"/>
                <w:sz w:val="18"/>
                <w:szCs w:val="18"/>
                <w:lang w:val="en-US" w:eastAsia="zh-CN"/>
              </w:rPr>
            </w:pPr>
            <w:r>
              <w:rPr>
                <w:rFonts w:hint="eastAsia"/>
                <w:color w:val="000000"/>
                <w:sz w:val="18"/>
                <w:szCs w:val="18"/>
                <w:lang w:val="en-US" w:eastAsia="zh-CN"/>
              </w:rPr>
              <w:t>10</w:t>
            </w:r>
          </w:p>
        </w:tc>
        <w:tc>
          <w:tcPr>
            <w:tcW w:w="130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rFonts w:hint="default" w:eastAsia="宋体"/>
                <w:b/>
                <w:bCs/>
                <w:color w:val="000000"/>
                <w:sz w:val="18"/>
                <w:szCs w:val="18"/>
                <w:lang w:val="en-US" w:eastAsia="zh-CN"/>
              </w:rPr>
            </w:pPr>
            <w:r>
              <w:rPr>
                <w:rFonts w:hint="eastAsia"/>
                <w:b/>
                <w:bCs/>
                <w:color w:val="000000"/>
                <w:sz w:val="18"/>
                <w:szCs w:val="18"/>
                <w:lang w:val="en-US" w:eastAsia="zh-CN"/>
              </w:rPr>
              <w:t>8.43</w:t>
            </w:r>
          </w:p>
        </w:tc>
        <w:tc>
          <w:tcPr>
            <w:tcW w:w="496" w:type="dxa"/>
            <w:gridSpan w:val="2"/>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10</w:t>
            </w:r>
          </w:p>
        </w:tc>
        <w:tc>
          <w:tcPr>
            <w:tcW w:w="1573"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rFonts w:hint="default" w:eastAsia="宋体"/>
                <w:color w:val="000000"/>
                <w:sz w:val="18"/>
                <w:szCs w:val="18"/>
                <w:lang w:val="en-US" w:eastAsia="zh-CN"/>
              </w:rPr>
            </w:pPr>
            <w:r>
              <w:rPr>
                <w:rFonts w:hint="eastAsia"/>
                <w:color w:val="000000"/>
                <w:sz w:val="18"/>
                <w:szCs w:val="18"/>
                <w:lang w:val="en-US" w:eastAsia="zh-CN"/>
              </w:rPr>
              <w:t>84.3</w:t>
            </w:r>
          </w:p>
        </w:tc>
        <w:tc>
          <w:tcPr>
            <w:tcW w:w="653"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b/>
                <w:bCs/>
                <w:color w:val="000000"/>
                <w:sz w:val="18"/>
                <w:szCs w:val="18"/>
                <w:lang w:val="en-US" w:eastAsia="zh-CN"/>
              </w:rPr>
            </w:pPr>
            <w:r>
              <w:rPr>
                <w:rFonts w:hint="eastAsia"/>
                <w:b/>
                <w:bCs/>
                <w:color w:val="000000"/>
                <w:sz w:val="18"/>
                <w:szCs w:val="18"/>
                <w:lang w:val="en-US" w:eastAsia="zh-CN"/>
              </w:rPr>
              <w:t>8.4</w:t>
            </w:r>
          </w:p>
        </w:tc>
      </w:tr>
      <w:tr>
        <w:tblPrEx>
          <w:tblCellMar>
            <w:top w:w="0" w:type="dxa"/>
            <w:left w:w="108" w:type="dxa"/>
            <w:bottom w:w="0" w:type="dxa"/>
            <w:right w:w="108" w:type="dxa"/>
          </w:tblCellMar>
        </w:tblPrEx>
        <w:trPr>
          <w:trHeight w:val="284" w:hRule="exact"/>
        </w:trPr>
        <w:tc>
          <w:tcPr>
            <w:tcW w:w="174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224" w:type="dxa"/>
            <w:gridSpan w:val="2"/>
            <w:tcBorders>
              <w:top w:val="single" w:color="000000" w:sz="4" w:space="0"/>
              <w:left w:val="nil"/>
              <w:bottom w:val="single" w:color="000000" w:sz="4" w:space="0"/>
              <w:right w:val="single" w:color="000000" w:sz="4" w:space="0"/>
            </w:tcBorders>
            <w:noWrap w:val="0"/>
            <w:vAlign w:val="center"/>
          </w:tcPr>
          <w:p>
            <w:pPr>
              <w:spacing w:line="160" w:lineRule="exact"/>
              <w:rPr>
                <w:b/>
                <w:bCs/>
                <w:color w:val="000000"/>
                <w:sz w:val="18"/>
                <w:szCs w:val="18"/>
              </w:rPr>
            </w:pPr>
            <w:r>
              <w:rPr>
                <w:rFonts w:hint="eastAsia"/>
                <w:b/>
                <w:bCs/>
                <w:color w:val="000000"/>
                <w:sz w:val="18"/>
                <w:szCs w:val="18"/>
              </w:rPr>
              <w:t xml:space="preserve"> 其中：财政拨款</w:t>
            </w:r>
          </w:p>
        </w:tc>
        <w:tc>
          <w:tcPr>
            <w:tcW w:w="691"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color w:val="000000"/>
                <w:sz w:val="18"/>
                <w:szCs w:val="18"/>
                <w:lang w:val="en-US" w:eastAsia="zh-CN"/>
              </w:rPr>
            </w:pPr>
            <w:r>
              <w:rPr>
                <w:rFonts w:hint="eastAsia"/>
                <w:color w:val="000000"/>
                <w:sz w:val="18"/>
                <w:szCs w:val="18"/>
                <w:lang w:val="en-US" w:eastAsia="zh-CN"/>
              </w:rPr>
              <w:t>10</w:t>
            </w:r>
          </w:p>
        </w:tc>
        <w:tc>
          <w:tcPr>
            <w:tcW w:w="930" w:type="dxa"/>
            <w:gridSpan w:val="2"/>
            <w:tcBorders>
              <w:top w:val="nil"/>
              <w:left w:val="nil"/>
              <w:bottom w:val="single" w:color="000000" w:sz="4" w:space="0"/>
              <w:right w:val="single" w:color="000000" w:sz="4" w:space="0"/>
            </w:tcBorders>
            <w:noWrap w:val="0"/>
            <w:vAlign w:val="center"/>
          </w:tcPr>
          <w:p>
            <w:pPr>
              <w:spacing w:line="160" w:lineRule="exact"/>
              <w:jc w:val="center"/>
              <w:rPr>
                <w:rFonts w:hint="default" w:eastAsia="宋体"/>
                <w:color w:val="000000"/>
                <w:sz w:val="18"/>
                <w:szCs w:val="18"/>
                <w:lang w:val="en-US" w:eastAsia="zh-CN"/>
              </w:rPr>
            </w:pPr>
            <w:r>
              <w:rPr>
                <w:rFonts w:hint="eastAsia"/>
                <w:color w:val="000000"/>
                <w:sz w:val="18"/>
                <w:szCs w:val="18"/>
                <w:lang w:val="en-US" w:eastAsia="zh-CN"/>
              </w:rPr>
              <w:t>10</w:t>
            </w:r>
          </w:p>
        </w:tc>
        <w:tc>
          <w:tcPr>
            <w:tcW w:w="130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rFonts w:hint="default" w:eastAsia="宋体"/>
                <w:b/>
                <w:bCs/>
                <w:color w:val="000000"/>
                <w:sz w:val="18"/>
                <w:szCs w:val="18"/>
                <w:lang w:val="en-US" w:eastAsia="zh-CN"/>
              </w:rPr>
            </w:pPr>
            <w:r>
              <w:rPr>
                <w:rFonts w:hint="eastAsia"/>
                <w:b/>
                <w:bCs/>
                <w:color w:val="000000"/>
                <w:sz w:val="18"/>
                <w:szCs w:val="18"/>
                <w:lang w:val="en-US" w:eastAsia="zh-CN"/>
              </w:rPr>
              <w:t>8.43</w:t>
            </w:r>
          </w:p>
        </w:tc>
        <w:tc>
          <w:tcPr>
            <w:tcW w:w="496" w:type="dxa"/>
            <w:gridSpan w:val="2"/>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 xml:space="preserve">- </w:t>
            </w:r>
          </w:p>
        </w:tc>
        <w:tc>
          <w:tcPr>
            <w:tcW w:w="1573"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rFonts w:hint="default" w:eastAsia="宋体"/>
                <w:color w:val="000000"/>
                <w:sz w:val="18"/>
                <w:szCs w:val="18"/>
                <w:lang w:val="en-US" w:eastAsia="zh-CN"/>
              </w:rPr>
            </w:pPr>
            <w:r>
              <w:rPr>
                <w:rFonts w:hint="eastAsia"/>
                <w:color w:val="000000"/>
                <w:sz w:val="18"/>
                <w:szCs w:val="18"/>
                <w:lang w:val="en-US" w:eastAsia="zh-CN"/>
              </w:rPr>
              <w:t>84.3</w:t>
            </w:r>
          </w:p>
        </w:tc>
        <w:tc>
          <w:tcPr>
            <w:tcW w:w="653"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 xml:space="preserve">- </w:t>
            </w:r>
          </w:p>
        </w:tc>
      </w:tr>
      <w:tr>
        <w:tblPrEx>
          <w:tblCellMar>
            <w:top w:w="0" w:type="dxa"/>
            <w:left w:w="108" w:type="dxa"/>
            <w:bottom w:w="0" w:type="dxa"/>
            <w:right w:w="108" w:type="dxa"/>
          </w:tblCellMar>
        </w:tblPrEx>
        <w:trPr>
          <w:trHeight w:val="559" w:hRule="exact"/>
        </w:trPr>
        <w:tc>
          <w:tcPr>
            <w:tcW w:w="174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224" w:type="dxa"/>
            <w:gridSpan w:val="2"/>
            <w:tcBorders>
              <w:top w:val="single" w:color="000000" w:sz="4" w:space="0"/>
              <w:left w:val="nil"/>
              <w:bottom w:val="single" w:color="000000" w:sz="4" w:space="0"/>
              <w:right w:val="single" w:color="000000" w:sz="4" w:space="0"/>
            </w:tcBorders>
            <w:noWrap w:val="0"/>
            <w:vAlign w:val="center"/>
          </w:tcPr>
          <w:p>
            <w:pPr>
              <w:spacing w:line="160" w:lineRule="exact"/>
              <w:rPr>
                <w:b/>
                <w:bCs/>
                <w:color w:val="000000"/>
                <w:sz w:val="18"/>
                <w:szCs w:val="18"/>
              </w:rPr>
            </w:pPr>
            <w:r>
              <w:rPr>
                <w:rFonts w:hint="eastAsia"/>
                <w:b/>
                <w:bCs/>
                <w:color w:val="000000"/>
                <w:sz w:val="18"/>
                <w:szCs w:val="18"/>
              </w:rPr>
              <w:t xml:space="preserve">       其他资金</w:t>
            </w:r>
          </w:p>
        </w:tc>
        <w:tc>
          <w:tcPr>
            <w:tcW w:w="691"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w:t>
            </w:r>
          </w:p>
        </w:tc>
        <w:tc>
          <w:tcPr>
            <w:tcW w:w="930" w:type="dxa"/>
            <w:gridSpan w:val="2"/>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w:t>
            </w:r>
          </w:p>
        </w:tc>
        <w:tc>
          <w:tcPr>
            <w:tcW w:w="130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w:t>
            </w:r>
          </w:p>
        </w:tc>
        <w:tc>
          <w:tcPr>
            <w:tcW w:w="496" w:type="dxa"/>
            <w:gridSpan w:val="2"/>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 xml:space="preserve">- </w:t>
            </w:r>
          </w:p>
        </w:tc>
        <w:tc>
          <w:tcPr>
            <w:tcW w:w="1573"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w:t>
            </w:r>
          </w:p>
        </w:tc>
        <w:tc>
          <w:tcPr>
            <w:tcW w:w="653"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 xml:space="preserve">- </w:t>
            </w:r>
          </w:p>
        </w:tc>
      </w:tr>
      <w:tr>
        <w:tblPrEx>
          <w:tblCellMar>
            <w:top w:w="0" w:type="dxa"/>
            <w:left w:w="108" w:type="dxa"/>
            <w:bottom w:w="0" w:type="dxa"/>
            <w:right w:w="108" w:type="dxa"/>
          </w:tblCellMar>
        </w:tblPrEx>
        <w:trPr>
          <w:trHeight w:val="280" w:hRule="atLeast"/>
        </w:trPr>
        <w:tc>
          <w:tcPr>
            <w:tcW w:w="567" w:type="dxa"/>
            <w:vMerge w:val="restart"/>
            <w:tcBorders>
              <w:top w:val="nil"/>
              <w:left w:val="single" w:color="000000" w:sz="4" w:space="0"/>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年度总体目标</w:t>
            </w:r>
          </w:p>
        </w:tc>
        <w:tc>
          <w:tcPr>
            <w:tcW w:w="4020" w:type="dxa"/>
            <w:gridSpan w:val="7"/>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年初设定目标</w:t>
            </w:r>
          </w:p>
        </w:tc>
        <w:tc>
          <w:tcPr>
            <w:tcW w:w="4026" w:type="dxa"/>
            <w:gridSpan w:val="8"/>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年度总体目标完成情况综述</w:t>
            </w:r>
          </w:p>
        </w:tc>
      </w:tr>
      <w:tr>
        <w:tblPrEx>
          <w:tblCellMar>
            <w:top w:w="0" w:type="dxa"/>
            <w:left w:w="108" w:type="dxa"/>
            <w:bottom w:w="0" w:type="dxa"/>
            <w:right w:w="108" w:type="dxa"/>
          </w:tblCellMar>
        </w:tblPrEx>
        <w:trPr>
          <w:trHeight w:val="2827"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4020" w:type="dxa"/>
            <w:gridSpan w:val="7"/>
            <w:tcBorders>
              <w:top w:val="single" w:color="000000" w:sz="4" w:space="0"/>
              <w:left w:val="nil"/>
              <w:bottom w:val="single" w:color="000000" w:sz="4" w:space="0"/>
              <w:right w:val="single" w:color="000000" w:sz="4" w:space="0"/>
            </w:tcBorders>
            <w:noWrap w:val="0"/>
            <w:vAlign w:val="center"/>
          </w:tcPr>
          <w:p>
            <w:pPr>
              <w:spacing w:line="160" w:lineRule="exact"/>
              <w:rPr>
                <w:rFonts w:hint="eastAsia" w:eastAsia="宋体"/>
                <w:color w:val="000000"/>
                <w:sz w:val="18"/>
                <w:szCs w:val="18"/>
                <w:lang w:val="en-US" w:eastAsia="zh-CN"/>
              </w:rPr>
            </w:pPr>
            <w:r>
              <w:rPr>
                <w:rFonts w:hint="eastAsia" w:eastAsia="宋体"/>
                <w:color w:val="000000"/>
                <w:sz w:val="18"/>
                <w:szCs w:val="18"/>
                <w:lang w:val="en-US" w:eastAsia="zh-CN"/>
              </w:rPr>
              <w:t>1、服务和促进个体、私营经济发展。2、开展法制诚信教育和法律法规宣传，教育和引导个体工商户、私营企业文明服务、诚信经营。3、组织开展红色教育，推动非公党建工作。4、维护和保障会员的合法权益。5、组织开展有益于会员发展的社会活动和各类培训。6、组织举办大型招聘会。7、表彰优秀个体户、私营企业。</w:t>
            </w:r>
          </w:p>
        </w:tc>
        <w:tc>
          <w:tcPr>
            <w:tcW w:w="4026" w:type="dxa"/>
            <w:gridSpan w:val="8"/>
            <w:tcBorders>
              <w:top w:val="single" w:color="000000" w:sz="4" w:space="0"/>
              <w:left w:val="nil"/>
              <w:bottom w:val="single" w:color="000000" w:sz="4" w:space="0"/>
              <w:right w:val="single" w:color="000000" w:sz="4" w:space="0"/>
            </w:tcBorders>
            <w:noWrap w:val="0"/>
            <w:vAlign w:val="center"/>
          </w:tcPr>
          <w:p>
            <w:pPr>
              <w:spacing w:line="160" w:lineRule="exact"/>
              <w:rPr>
                <w:color w:val="000000"/>
                <w:sz w:val="18"/>
                <w:szCs w:val="18"/>
              </w:rPr>
            </w:pPr>
            <w:r>
              <w:rPr>
                <w:rFonts w:hint="eastAsia"/>
                <w:color w:val="000000"/>
                <w:sz w:val="18"/>
                <w:szCs w:val="18"/>
              </w:rPr>
              <w:t>教育和引导个体户、私营企业诚信守法经营、文明优质服务，维护个体户、私营企业的合法权益，提高个体户、私营企业的社会地位，促进个体、私营经济健康发展。</w:t>
            </w:r>
          </w:p>
        </w:tc>
      </w:tr>
      <w:tr>
        <w:tblPrEx>
          <w:tblCellMar>
            <w:top w:w="0" w:type="dxa"/>
            <w:left w:w="108" w:type="dxa"/>
            <w:bottom w:w="0" w:type="dxa"/>
            <w:right w:w="108" w:type="dxa"/>
          </w:tblCellMar>
        </w:tblPrEx>
        <w:trPr>
          <w:trHeight w:val="385" w:hRule="atLeast"/>
        </w:trPr>
        <w:tc>
          <w:tcPr>
            <w:tcW w:w="567" w:type="dxa"/>
            <w:vMerge w:val="restart"/>
            <w:tcBorders>
              <w:top w:val="nil"/>
              <w:left w:val="single" w:color="000000" w:sz="4" w:space="0"/>
              <w:bottom w:val="single" w:color="000000" w:sz="4" w:space="0"/>
              <w:right w:val="single" w:color="000000" w:sz="4" w:space="0"/>
            </w:tcBorders>
            <w:noWrap w:val="0"/>
            <w:textDirection w:val="tbRlV"/>
            <w:vAlign w:val="center"/>
          </w:tcPr>
          <w:p>
            <w:pPr>
              <w:spacing w:line="160" w:lineRule="exact"/>
              <w:jc w:val="center"/>
              <w:rPr>
                <w:b/>
                <w:bCs/>
                <w:color w:val="000000"/>
                <w:sz w:val="18"/>
                <w:szCs w:val="18"/>
              </w:rPr>
            </w:pPr>
            <w:r>
              <w:rPr>
                <w:rFonts w:hint="eastAsia"/>
                <w:b/>
                <w:bCs/>
                <w:color w:val="000000"/>
                <w:sz w:val="18"/>
                <w:szCs w:val="18"/>
              </w:rPr>
              <w:t>绩效指标</w:t>
            </w:r>
          </w:p>
        </w:tc>
        <w:tc>
          <w:tcPr>
            <w:tcW w:w="605"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一级指标</w:t>
            </w:r>
          </w:p>
        </w:tc>
        <w:tc>
          <w:tcPr>
            <w:tcW w:w="1138"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二级指标</w:t>
            </w: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三级指标</w:t>
            </w:r>
          </w:p>
        </w:tc>
        <w:tc>
          <w:tcPr>
            <w:tcW w:w="646"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分值</w:t>
            </w:r>
          </w:p>
        </w:tc>
        <w:tc>
          <w:tcPr>
            <w:tcW w:w="864"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年度指标值</w:t>
            </w: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全年实际完成值</w:t>
            </w: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分值</w:t>
            </w:r>
          </w:p>
        </w:tc>
        <w:tc>
          <w:tcPr>
            <w:tcW w:w="729"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得分</w:t>
            </w:r>
          </w:p>
        </w:tc>
        <w:tc>
          <w:tcPr>
            <w:tcW w:w="1197"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未完成原因及拟采取的改进措施</w:t>
            </w:r>
          </w:p>
        </w:tc>
      </w:tr>
      <w:tr>
        <w:tblPrEx>
          <w:tblCellMar>
            <w:top w:w="0" w:type="dxa"/>
            <w:left w:w="108" w:type="dxa"/>
            <w:bottom w:w="0" w:type="dxa"/>
            <w:right w:w="108" w:type="dxa"/>
          </w:tblCellMar>
        </w:tblPrEx>
        <w:trPr>
          <w:trHeight w:val="300"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restart"/>
            <w:tcBorders>
              <w:top w:val="nil"/>
              <w:left w:val="single" w:color="000000" w:sz="4" w:space="0"/>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产出指标</w:t>
            </w:r>
            <w:r>
              <w:rPr>
                <w:rFonts w:hint="eastAsia"/>
                <w:b/>
                <w:bCs/>
                <w:color w:val="000000"/>
                <w:sz w:val="18"/>
                <w:szCs w:val="18"/>
              </w:rPr>
              <w:br w:type="textWrapping"/>
            </w:r>
          </w:p>
        </w:tc>
        <w:tc>
          <w:tcPr>
            <w:tcW w:w="11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数量指标</w:t>
            </w:r>
          </w:p>
        </w:tc>
        <w:tc>
          <w:tcPr>
            <w:tcW w:w="163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组织协会工作人员及个体户、私营企业党建工作者开展红色主题教育活动</w:t>
            </w:r>
            <w:r>
              <w:rPr>
                <w:rFonts w:hint="eastAsia" w:ascii="宋体" w:hAnsi="宋体" w:cs="宋体"/>
                <w:i w:val="0"/>
                <w:color w:val="000000"/>
                <w:kern w:val="0"/>
                <w:sz w:val="24"/>
                <w:szCs w:val="24"/>
                <w:u w:val="none"/>
                <w:lang w:val="en-US" w:eastAsia="zh-CN" w:bidi="ar"/>
              </w:rPr>
              <w:t>、培训、表彰。</w:t>
            </w:r>
          </w:p>
        </w:tc>
        <w:tc>
          <w:tcPr>
            <w:tcW w:w="646"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bCs/>
                <w:color w:val="000000"/>
                <w:sz w:val="18"/>
                <w:szCs w:val="18"/>
                <w:lang w:val="en-US" w:eastAsia="zh-CN"/>
              </w:rPr>
            </w:pPr>
            <w:r>
              <w:rPr>
                <w:rFonts w:hint="eastAsia"/>
                <w:bCs/>
                <w:color w:val="000000"/>
                <w:sz w:val="18"/>
                <w:szCs w:val="18"/>
                <w:lang w:val="en-US" w:eastAsia="zh-CN"/>
              </w:rPr>
              <w:t>50</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≥4</w:t>
            </w:r>
          </w:p>
        </w:tc>
        <w:tc>
          <w:tcPr>
            <w:tcW w:w="614" w:type="dxa"/>
            <w:gridSpan w:val="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≥4</w:t>
            </w: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rFonts w:hint="default" w:eastAsia="宋体"/>
                <w:bCs/>
                <w:color w:val="000000"/>
                <w:sz w:val="18"/>
                <w:szCs w:val="18"/>
                <w:lang w:val="en-US" w:eastAsia="zh-CN"/>
              </w:rPr>
            </w:pPr>
            <w:r>
              <w:rPr>
                <w:rFonts w:hint="eastAsia"/>
                <w:bCs/>
                <w:color w:val="000000"/>
                <w:sz w:val="18"/>
                <w:szCs w:val="18"/>
                <w:lang w:val="en-US" w:eastAsia="zh-CN"/>
              </w:rPr>
              <w:t>50</w:t>
            </w:r>
          </w:p>
        </w:tc>
        <w:tc>
          <w:tcPr>
            <w:tcW w:w="729"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color w:val="000000"/>
                <w:sz w:val="18"/>
                <w:szCs w:val="18"/>
                <w:lang w:val="en-US" w:eastAsia="zh-CN"/>
              </w:rPr>
            </w:pPr>
            <w:r>
              <w:rPr>
                <w:rFonts w:hint="eastAsia"/>
                <w:color w:val="000000"/>
                <w:sz w:val="18"/>
                <w:szCs w:val="18"/>
                <w:lang w:val="en-US" w:eastAsia="zh-CN"/>
              </w:rPr>
              <w:t>50</w:t>
            </w:r>
          </w:p>
        </w:tc>
        <w:tc>
          <w:tcPr>
            <w:tcW w:w="1197"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27"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544" w:type="dxa"/>
            <w:tcBorders>
              <w:top w:val="nil"/>
              <w:left w:val="nil"/>
              <w:bottom w:val="single" w:color="000000" w:sz="4" w:space="0"/>
              <w:right w:val="nil"/>
            </w:tcBorders>
            <w:noWrap w:val="0"/>
            <w:vAlign w:val="center"/>
          </w:tcPr>
          <w:p>
            <w:pPr>
              <w:spacing w:line="160" w:lineRule="exact"/>
              <w:jc w:val="center"/>
              <w:rPr>
                <w:bCs/>
                <w:color w:val="000000"/>
                <w:sz w:val="18"/>
                <w:szCs w:val="18"/>
              </w:rPr>
            </w:pPr>
          </w:p>
        </w:tc>
        <w:tc>
          <w:tcPr>
            <w:tcW w:w="653"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27"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544" w:type="dxa"/>
            <w:tcBorders>
              <w:top w:val="nil"/>
              <w:left w:val="nil"/>
              <w:bottom w:val="single" w:color="000000" w:sz="4" w:space="0"/>
              <w:right w:val="nil"/>
            </w:tcBorders>
            <w:noWrap w:val="0"/>
            <w:vAlign w:val="center"/>
          </w:tcPr>
          <w:p>
            <w:pPr>
              <w:spacing w:line="160" w:lineRule="exact"/>
              <w:jc w:val="center"/>
              <w:rPr>
                <w:bCs/>
                <w:color w:val="000000"/>
                <w:sz w:val="18"/>
                <w:szCs w:val="18"/>
              </w:rPr>
            </w:pPr>
          </w:p>
        </w:tc>
        <w:tc>
          <w:tcPr>
            <w:tcW w:w="653"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27"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544" w:type="dxa"/>
            <w:tcBorders>
              <w:top w:val="nil"/>
              <w:left w:val="nil"/>
              <w:bottom w:val="single" w:color="000000" w:sz="4" w:space="0"/>
              <w:right w:val="nil"/>
            </w:tcBorders>
            <w:noWrap w:val="0"/>
            <w:vAlign w:val="center"/>
          </w:tcPr>
          <w:p>
            <w:pPr>
              <w:spacing w:line="160" w:lineRule="exact"/>
              <w:jc w:val="center"/>
              <w:rPr>
                <w:bCs/>
                <w:color w:val="000000"/>
                <w:sz w:val="18"/>
                <w:szCs w:val="18"/>
              </w:rPr>
            </w:pPr>
          </w:p>
        </w:tc>
        <w:tc>
          <w:tcPr>
            <w:tcW w:w="653"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27"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544" w:type="dxa"/>
            <w:tcBorders>
              <w:top w:val="nil"/>
              <w:left w:val="nil"/>
              <w:bottom w:val="single" w:color="000000" w:sz="4" w:space="0"/>
              <w:right w:val="nil"/>
            </w:tcBorders>
            <w:noWrap w:val="0"/>
            <w:vAlign w:val="center"/>
          </w:tcPr>
          <w:p>
            <w:pPr>
              <w:spacing w:line="160" w:lineRule="exact"/>
              <w:jc w:val="center"/>
              <w:rPr>
                <w:bCs/>
                <w:color w:val="000000"/>
                <w:sz w:val="18"/>
                <w:szCs w:val="18"/>
              </w:rPr>
            </w:pPr>
          </w:p>
        </w:tc>
        <w:tc>
          <w:tcPr>
            <w:tcW w:w="653"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300"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544" w:type="dxa"/>
            <w:tcBorders>
              <w:top w:val="nil"/>
              <w:left w:val="nil"/>
              <w:bottom w:val="single" w:color="000000" w:sz="4" w:space="0"/>
              <w:right w:val="nil"/>
            </w:tcBorders>
            <w:noWrap w:val="0"/>
            <w:vAlign w:val="center"/>
          </w:tcPr>
          <w:p>
            <w:pPr>
              <w:spacing w:line="160" w:lineRule="exact"/>
              <w:jc w:val="center"/>
              <w:rPr>
                <w:bCs/>
                <w:color w:val="000000"/>
                <w:sz w:val="18"/>
                <w:szCs w:val="18"/>
              </w:rPr>
            </w:pPr>
          </w:p>
        </w:tc>
        <w:tc>
          <w:tcPr>
            <w:tcW w:w="653"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15"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544" w:type="dxa"/>
            <w:tcBorders>
              <w:top w:val="nil"/>
              <w:left w:val="nil"/>
              <w:bottom w:val="single" w:color="000000" w:sz="4" w:space="0"/>
              <w:right w:val="nil"/>
            </w:tcBorders>
            <w:noWrap w:val="0"/>
            <w:vAlign w:val="center"/>
          </w:tcPr>
          <w:p>
            <w:pPr>
              <w:spacing w:line="160" w:lineRule="exact"/>
              <w:jc w:val="center"/>
              <w:rPr>
                <w:bCs/>
                <w:color w:val="000000"/>
                <w:sz w:val="18"/>
                <w:szCs w:val="18"/>
              </w:rPr>
            </w:pPr>
          </w:p>
        </w:tc>
        <w:tc>
          <w:tcPr>
            <w:tcW w:w="653"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15"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1197"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15"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质量指标</w:t>
            </w:r>
          </w:p>
        </w:tc>
        <w:tc>
          <w:tcPr>
            <w:tcW w:w="163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各类培训合格率。</w:t>
            </w:r>
          </w:p>
        </w:tc>
        <w:tc>
          <w:tcPr>
            <w:tcW w:w="646"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bCs/>
                <w:color w:val="000000"/>
                <w:sz w:val="18"/>
                <w:szCs w:val="18"/>
                <w:lang w:val="en-US" w:eastAsia="zh-CN"/>
              </w:rPr>
            </w:pPr>
            <w:r>
              <w:rPr>
                <w:rFonts w:hint="eastAsia"/>
                <w:bCs/>
                <w:color w:val="000000"/>
                <w:sz w:val="18"/>
                <w:szCs w:val="18"/>
                <w:lang w:val="en-US" w:eastAsia="zh-CN"/>
              </w:rPr>
              <w:t>20</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90%</w:t>
            </w:r>
            <w:r>
              <w:rPr>
                <w:rFonts w:hint="eastAsia" w:ascii="宋体" w:hAnsi="宋体" w:cs="宋体"/>
                <w:i w:val="0"/>
                <w:color w:val="000000"/>
                <w:kern w:val="0"/>
                <w:sz w:val="24"/>
                <w:szCs w:val="24"/>
                <w:u w:val="none"/>
                <w:lang w:val="en-US" w:eastAsia="zh-CN" w:bidi="ar"/>
              </w:rPr>
              <w:t>以上</w:t>
            </w:r>
          </w:p>
        </w:tc>
        <w:tc>
          <w:tcPr>
            <w:tcW w:w="614" w:type="dxa"/>
            <w:gridSpan w:val="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90%</w:t>
            </w: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rFonts w:hint="default" w:eastAsia="宋体"/>
                <w:bCs/>
                <w:color w:val="000000"/>
                <w:sz w:val="18"/>
                <w:szCs w:val="18"/>
                <w:lang w:val="en-US" w:eastAsia="zh-CN"/>
              </w:rPr>
            </w:pPr>
            <w:r>
              <w:rPr>
                <w:rFonts w:hint="eastAsia"/>
                <w:bCs/>
                <w:color w:val="000000"/>
                <w:sz w:val="18"/>
                <w:szCs w:val="18"/>
                <w:lang w:val="en-US" w:eastAsia="zh-CN"/>
              </w:rPr>
              <w:t>20</w:t>
            </w:r>
          </w:p>
        </w:tc>
        <w:tc>
          <w:tcPr>
            <w:tcW w:w="729"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color w:val="000000"/>
                <w:sz w:val="18"/>
                <w:szCs w:val="18"/>
                <w:lang w:val="en-US" w:eastAsia="zh-CN"/>
              </w:rPr>
            </w:pPr>
            <w:r>
              <w:rPr>
                <w:rFonts w:hint="eastAsia"/>
                <w:color w:val="000000"/>
                <w:sz w:val="18"/>
                <w:szCs w:val="18"/>
                <w:lang w:val="en-US" w:eastAsia="zh-CN"/>
              </w:rPr>
              <w:t>18</w:t>
            </w:r>
          </w:p>
        </w:tc>
        <w:tc>
          <w:tcPr>
            <w:tcW w:w="544" w:type="dxa"/>
            <w:tcBorders>
              <w:top w:val="nil"/>
              <w:left w:val="nil"/>
              <w:bottom w:val="single" w:color="000000" w:sz="4" w:space="0"/>
              <w:right w:val="nil"/>
            </w:tcBorders>
            <w:noWrap w:val="0"/>
            <w:vAlign w:val="center"/>
          </w:tcPr>
          <w:p>
            <w:pPr>
              <w:spacing w:line="160" w:lineRule="exact"/>
              <w:jc w:val="center"/>
              <w:rPr>
                <w:bCs/>
                <w:color w:val="000000"/>
                <w:sz w:val="18"/>
                <w:szCs w:val="18"/>
              </w:rPr>
            </w:pPr>
          </w:p>
        </w:tc>
        <w:tc>
          <w:tcPr>
            <w:tcW w:w="653"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15"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544" w:type="dxa"/>
            <w:tcBorders>
              <w:top w:val="nil"/>
              <w:left w:val="nil"/>
              <w:bottom w:val="single" w:color="000000" w:sz="4" w:space="0"/>
              <w:right w:val="nil"/>
            </w:tcBorders>
            <w:noWrap w:val="0"/>
            <w:vAlign w:val="center"/>
          </w:tcPr>
          <w:p>
            <w:pPr>
              <w:spacing w:line="160" w:lineRule="exact"/>
              <w:jc w:val="center"/>
              <w:rPr>
                <w:bCs/>
                <w:color w:val="000000"/>
                <w:sz w:val="18"/>
                <w:szCs w:val="18"/>
              </w:rPr>
            </w:pPr>
          </w:p>
        </w:tc>
        <w:tc>
          <w:tcPr>
            <w:tcW w:w="653"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84"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1197"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84"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时效指标</w:t>
            </w: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1197"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284"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社会效益指标</w:t>
            </w:r>
          </w:p>
        </w:tc>
        <w:tc>
          <w:tcPr>
            <w:tcW w:w="163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带动创业增长率。</w:t>
            </w:r>
          </w:p>
        </w:tc>
        <w:tc>
          <w:tcPr>
            <w:tcW w:w="646"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bCs/>
                <w:color w:val="000000"/>
                <w:sz w:val="18"/>
                <w:szCs w:val="18"/>
                <w:lang w:val="en-US" w:eastAsia="zh-CN"/>
              </w:rPr>
            </w:pPr>
            <w:r>
              <w:rPr>
                <w:rFonts w:hint="eastAsia"/>
                <w:bCs/>
                <w:color w:val="000000"/>
                <w:sz w:val="18"/>
                <w:szCs w:val="18"/>
                <w:lang w:val="en-US" w:eastAsia="zh-CN"/>
              </w:rPr>
              <w:t>20</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70%</w:t>
            </w:r>
            <w:r>
              <w:rPr>
                <w:rFonts w:hint="eastAsia" w:ascii="宋体" w:hAnsi="宋体" w:cs="宋体"/>
                <w:i w:val="0"/>
                <w:color w:val="000000"/>
                <w:kern w:val="0"/>
                <w:sz w:val="24"/>
                <w:szCs w:val="24"/>
                <w:u w:val="none"/>
                <w:lang w:val="en-US" w:eastAsia="zh-CN" w:bidi="ar"/>
              </w:rPr>
              <w:t>以上</w:t>
            </w:r>
          </w:p>
        </w:tc>
        <w:tc>
          <w:tcPr>
            <w:tcW w:w="614" w:type="dxa"/>
            <w:gridSpan w:val="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rPr>
            </w:pPr>
            <w:r>
              <w:rPr>
                <w:rFonts w:hint="eastAsia" w:ascii="宋体" w:hAnsi="宋体" w:eastAsia="宋体" w:cs="宋体"/>
                <w:i w:val="0"/>
                <w:color w:val="000000"/>
                <w:kern w:val="0"/>
                <w:sz w:val="24"/>
                <w:szCs w:val="24"/>
                <w:u w:val="none"/>
                <w:lang w:val="en-US" w:eastAsia="zh-CN" w:bidi="ar"/>
              </w:rPr>
              <w:t>70%</w:t>
            </w: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rFonts w:hint="default" w:eastAsia="宋体"/>
                <w:bCs/>
                <w:color w:val="000000"/>
                <w:sz w:val="18"/>
                <w:szCs w:val="18"/>
                <w:lang w:val="en-US" w:eastAsia="zh-CN"/>
              </w:rPr>
            </w:pPr>
            <w:r>
              <w:rPr>
                <w:rFonts w:hint="eastAsia"/>
                <w:bCs/>
                <w:color w:val="000000"/>
                <w:sz w:val="18"/>
                <w:szCs w:val="18"/>
                <w:lang w:val="en-US" w:eastAsia="zh-CN"/>
              </w:rPr>
              <w:t>20</w:t>
            </w:r>
          </w:p>
        </w:tc>
        <w:tc>
          <w:tcPr>
            <w:tcW w:w="729"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color w:val="000000"/>
                <w:sz w:val="18"/>
                <w:szCs w:val="18"/>
                <w:lang w:val="en-US" w:eastAsia="zh-CN"/>
              </w:rPr>
            </w:pPr>
            <w:r>
              <w:rPr>
                <w:rFonts w:hint="eastAsia"/>
                <w:color w:val="000000"/>
                <w:sz w:val="18"/>
                <w:szCs w:val="18"/>
                <w:lang w:val="en-US" w:eastAsia="zh-CN"/>
              </w:rPr>
              <w:t>18</w:t>
            </w:r>
          </w:p>
        </w:tc>
        <w:tc>
          <w:tcPr>
            <w:tcW w:w="1197"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594"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1138"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可持续影响指标</w:t>
            </w:r>
          </w:p>
        </w:tc>
        <w:tc>
          <w:tcPr>
            <w:tcW w:w="163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rPr>
            </w:pPr>
          </w:p>
        </w:tc>
        <w:tc>
          <w:tcPr>
            <w:tcW w:w="646" w:type="dxa"/>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864" w:type="dxa"/>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c>
          <w:tcPr>
            <w:tcW w:w="729" w:type="dxa"/>
            <w:tcBorders>
              <w:top w:val="nil"/>
              <w:left w:val="nil"/>
              <w:bottom w:val="single" w:color="000000" w:sz="4" w:space="0"/>
              <w:right w:val="single" w:color="000000" w:sz="4" w:space="0"/>
            </w:tcBorders>
            <w:noWrap w:val="0"/>
            <w:vAlign w:val="center"/>
          </w:tcPr>
          <w:p>
            <w:pPr>
              <w:spacing w:line="160" w:lineRule="exact"/>
              <w:jc w:val="center"/>
              <w:rPr>
                <w:color w:val="000000"/>
                <w:sz w:val="18"/>
                <w:szCs w:val="18"/>
              </w:rPr>
            </w:pPr>
          </w:p>
        </w:tc>
        <w:tc>
          <w:tcPr>
            <w:tcW w:w="1197"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Cs/>
                <w:color w:val="000000"/>
                <w:sz w:val="18"/>
                <w:szCs w:val="18"/>
              </w:rPr>
            </w:pPr>
          </w:p>
        </w:tc>
      </w:tr>
      <w:tr>
        <w:tblPrEx>
          <w:tblCellMar>
            <w:top w:w="0" w:type="dxa"/>
            <w:left w:w="108" w:type="dxa"/>
            <w:bottom w:w="0" w:type="dxa"/>
            <w:right w:w="108" w:type="dxa"/>
          </w:tblCellMar>
        </w:tblPrEx>
        <w:trPr>
          <w:trHeight w:val="699" w:hRule="atLeast"/>
        </w:trPr>
        <w:tc>
          <w:tcPr>
            <w:tcW w:w="567" w:type="dxa"/>
            <w:vMerge w:val="continue"/>
            <w:tcBorders>
              <w:top w:val="nil"/>
              <w:left w:val="single" w:color="000000" w:sz="4" w:space="0"/>
              <w:bottom w:val="single" w:color="000000" w:sz="4" w:space="0"/>
              <w:right w:val="single" w:color="000000" w:sz="4" w:space="0"/>
            </w:tcBorders>
            <w:noWrap w:val="0"/>
            <w:vAlign w:val="center"/>
          </w:tcPr>
          <w:p>
            <w:pPr>
              <w:spacing w:line="160" w:lineRule="exact"/>
              <w:rPr>
                <w:b/>
                <w:bCs/>
                <w:color w:val="000000"/>
                <w:sz w:val="18"/>
                <w:szCs w:val="18"/>
              </w:rPr>
            </w:pPr>
          </w:p>
        </w:tc>
        <w:tc>
          <w:tcPr>
            <w:tcW w:w="605"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 xml:space="preserve">满意度指标( </w:t>
            </w:r>
          </w:p>
        </w:tc>
        <w:tc>
          <w:tcPr>
            <w:tcW w:w="1138"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服务对象满意度指标</w:t>
            </w:r>
          </w:p>
        </w:tc>
        <w:tc>
          <w:tcPr>
            <w:tcW w:w="1631"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r>
              <w:rPr>
                <w:rFonts w:hint="eastAsia" w:ascii="宋体" w:hAnsi="宋体" w:eastAsia="宋体" w:cs="宋体"/>
                <w:i w:val="0"/>
                <w:color w:val="000000"/>
                <w:kern w:val="0"/>
                <w:sz w:val="24"/>
                <w:szCs w:val="24"/>
                <w:u w:val="none"/>
                <w:lang w:val="en-US" w:eastAsia="zh-CN" w:bidi="ar"/>
              </w:rPr>
              <w:t>协会会员满意度</w:t>
            </w:r>
          </w:p>
        </w:tc>
        <w:tc>
          <w:tcPr>
            <w:tcW w:w="64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rPr>
            </w:pPr>
            <w:r>
              <w:rPr>
                <w:rFonts w:hint="eastAsia" w:ascii="宋体" w:hAnsi="宋体" w:cs="宋体"/>
                <w:i w:val="0"/>
                <w:color w:val="000000"/>
                <w:kern w:val="0"/>
                <w:sz w:val="24"/>
                <w:szCs w:val="24"/>
                <w:u w:val="none"/>
                <w:lang w:val="en-US" w:eastAsia="zh-CN" w:bidi="ar"/>
              </w:rPr>
              <w:t>10</w:t>
            </w:r>
          </w:p>
        </w:tc>
        <w:tc>
          <w:tcPr>
            <w:tcW w:w="864" w:type="dxa"/>
            <w:tcBorders>
              <w:top w:val="nil"/>
              <w:left w:val="nil"/>
              <w:bottom w:val="single" w:color="000000" w:sz="4" w:space="0"/>
              <w:right w:val="single" w:color="000000" w:sz="4" w:space="0"/>
            </w:tcBorders>
            <w:noWrap w:val="0"/>
            <w:vAlign w:val="center"/>
          </w:tcPr>
          <w:p>
            <w:pPr>
              <w:spacing w:line="160" w:lineRule="exact"/>
              <w:jc w:val="center"/>
              <w:rPr>
                <w:rFonts w:ascii="Calibri" w:hAnsi="Calibri"/>
                <w:color w:val="000000"/>
                <w:sz w:val="18"/>
                <w:szCs w:val="18"/>
              </w:rPr>
            </w:pPr>
            <w:r>
              <w:rPr>
                <w:rFonts w:hint="eastAsia" w:ascii="宋体" w:hAnsi="宋体" w:eastAsia="宋体" w:cs="宋体"/>
                <w:i w:val="0"/>
                <w:color w:val="000000"/>
                <w:kern w:val="0"/>
                <w:sz w:val="24"/>
                <w:szCs w:val="24"/>
                <w:u w:val="none"/>
                <w:lang w:val="en-US" w:eastAsia="zh-CN" w:bidi="ar"/>
              </w:rPr>
              <w:t>≥90</w:t>
            </w:r>
          </w:p>
        </w:tc>
        <w:tc>
          <w:tcPr>
            <w:tcW w:w="614"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color w:val="000000"/>
                <w:sz w:val="18"/>
                <w:szCs w:val="18"/>
              </w:rPr>
            </w:pPr>
            <w:r>
              <w:rPr>
                <w:rFonts w:hint="eastAsia" w:ascii="宋体" w:hAnsi="宋体" w:eastAsia="宋体" w:cs="宋体"/>
                <w:i w:val="0"/>
                <w:color w:val="000000"/>
                <w:kern w:val="0"/>
                <w:sz w:val="24"/>
                <w:szCs w:val="24"/>
                <w:u w:val="none"/>
                <w:lang w:val="en-US" w:eastAsia="zh-CN" w:bidi="ar"/>
              </w:rPr>
              <w:t>90</w:t>
            </w: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rFonts w:hint="default" w:eastAsia="宋体"/>
                <w:bCs/>
                <w:color w:val="000000"/>
                <w:sz w:val="18"/>
                <w:szCs w:val="18"/>
                <w:lang w:val="en-US" w:eastAsia="zh-CN"/>
              </w:rPr>
            </w:pPr>
            <w:r>
              <w:rPr>
                <w:rFonts w:hint="eastAsia"/>
                <w:bCs/>
                <w:color w:val="000000"/>
                <w:sz w:val="18"/>
                <w:szCs w:val="18"/>
                <w:lang w:val="en-US" w:eastAsia="zh-CN"/>
              </w:rPr>
              <w:t>10</w:t>
            </w:r>
          </w:p>
        </w:tc>
        <w:tc>
          <w:tcPr>
            <w:tcW w:w="729" w:type="dxa"/>
            <w:tcBorders>
              <w:top w:val="nil"/>
              <w:left w:val="nil"/>
              <w:bottom w:val="single" w:color="000000" w:sz="4" w:space="0"/>
              <w:right w:val="single" w:color="000000" w:sz="4" w:space="0"/>
            </w:tcBorders>
            <w:noWrap w:val="0"/>
            <w:vAlign w:val="center"/>
          </w:tcPr>
          <w:p>
            <w:pPr>
              <w:spacing w:line="160" w:lineRule="exact"/>
              <w:jc w:val="center"/>
              <w:rPr>
                <w:rFonts w:hint="eastAsia" w:eastAsia="宋体"/>
                <w:color w:val="000000"/>
                <w:sz w:val="18"/>
                <w:szCs w:val="18"/>
                <w:lang w:val="en-US" w:eastAsia="zh-CN"/>
              </w:rPr>
            </w:pPr>
            <w:r>
              <w:rPr>
                <w:rFonts w:hint="eastAsia"/>
                <w:color w:val="000000"/>
                <w:sz w:val="18"/>
                <w:szCs w:val="18"/>
                <w:lang w:val="en-US" w:eastAsia="zh-CN"/>
              </w:rPr>
              <w:t>9</w:t>
            </w:r>
          </w:p>
        </w:tc>
        <w:tc>
          <w:tcPr>
            <w:tcW w:w="1197" w:type="dxa"/>
            <w:gridSpan w:val="2"/>
            <w:tcBorders>
              <w:top w:val="single" w:color="000000" w:sz="4" w:space="0"/>
              <w:left w:val="nil"/>
              <w:bottom w:val="single" w:color="000000" w:sz="4" w:space="0"/>
              <w:right w:val="single" w:color="000000" w:sz="4" w:space="0"/>
            </w:tcBorders>
            <w:noWrap w:val="0"/>
            <w:vAlign w:val="center"/>
          </w:tcPr>
          <w:p>
            <w:pPr>
              <w:spacing w:line="160" w:lineRule="exact"/>
              <w:rPr>
                <w:bCs/>
                <w:color w:val="000000"/>
                <w:sz w:val="18"/>
                <w:szCs w:val="18"/>
              </w:rPr>
            </w:pPr>
          </w:p>
        </w:tc>
      </w:tr>
      <w:tr>
        <w:tblPrEx>
          <w:tblCellMar>
            <w:top w:w="0" w:type="dxa"/>
            <w:left w:w="108" w:type="dxa"/>
            <w:bottom w:w="0" w:type="dxa"/>
            <w:right w:w="108" w:type="dxa"/>
          </w:tblCellMar>
        </w:tblPrEx>
        <w:trPr>
          <w:trHeight w:val="255" w:hRule="atLeast"/>
        </w:trPr>
        <w:tc>
          <w:tcPr>
            <w:tcW w:w="394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总分</w:t>
            </w:r>
          </w:p>
        </w:tc>
        <w:tc>
          <w:tcPr>
            <w:tcW w:w="646" w:type="dxa"/>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100</w:t>
            </w:r>
          </w:p>
        </w:tc>
        <w:tc>
          <w:tcPr>
            <w:tcW w:w="1478" w:type="dxa"/>
            <w:gridSpan w:val="3"/>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　</w:t>
            </w:r>
          </w:p>
        </w:tc>
        <w:tc>
          <w:tcPr>
            <w:tcW w:w="622" w:type="dxa"/>
            <w:gridSpan w:val="2"/>
            <w:tcBorders>
              <w:top w:val="nil"/>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100</w:t>
            </w:r>
          </w:p>
        </w:tc>
        <w:tc>
          <w:tcPr>
            <w:tcW w:w="729" w:type="dxa"/>
            <w:tcBorders>
              <w:top w:val="nil"/>
              <w:left w:val="nil"/>
              <w:bottom w:val="single" w:color="000000" w:sz="4" w:space="0"/>
              <w:right w:val="single" w:color="000000" w:sz="4" w:space="0"/>
            </w:tcBorders>
            <w:noWrap w:val="0"/>
            <w:vAlign w:val="center"/>
          </w:tcPr>
          <w:p>
            <w:pPr>
              <w:spacing w:line="160" w:lineRule="exact"/>
              <w:jc w:val="center"/>
              <w:rPr>
                <w:rFonts w:hint="default" w:eastAsia="宋体"/>
                <w:b/>
                <w:bCs/>
                <w:color w:val="000000"/>
                <w:sz w:val="18"/>
                <w:szCs w:val="18"/>
                <w:lang w:val="en-US" w:eastAsia="zh-CN"/>
              </w:rPr>
            </w:pPr>
            <w:r>
              <w:rPr>
                <w:rFonts w:hint="eastAsia"/>
                <w:b/>
                <w:bCs/>
                <w:color w:val="000000"/>
                <w:sz w:val="18"/>
                <w:szCs w:val="18"/>
                <w:lang w:val="en-US" w:eastAsia="zh-CN"/>
              </w:rPr>
              <w:t>95</w:t>
            </w:r>
          </w:p>
        </w:tc>
        <w:tc>
          <w:tcPr>
            <w:tcW w:w="1197" w:type="dxa"/>
            <w:gridSpan w:val="2"/>
            <w:tcBorders>
              <w:top w:val="single" w:color="000000" w:sz="4" w:space="0"/>
              <w:left w:val="nil"/>
              <w:bottom w:val="single" w:color="000000" w:sz="4" w:space="0"/>
              <w:right w:val="single" w:color="000000" w:sz="4" w:space="0"/>
            </w:tcBorders>
            <w:noWrap w:val="0"/>
            <w:vAlign w:val="center"/>
          </w:tcPr>
          <w:p>
            <w:pPr>
              <w:spacing w:line="160" w:lineRule="exact"/>
              <w:jc w:val="center"/>
              <w:rPr>
                <w:b/>
                <w:bCs/>
                <w:color w:val="000000"/>
                <w:sz w:val="18"/>
                <w:szCs w:val="18"/>
              </w:rPr>
            </w:pPr>
            <w:r>
              <w:rPr>
                <w:rFonts w:hint="eastAsia"/>
                <w:b/>
                <w:bCs/>
                <w:color w:val="000000"/>
                <w:sz w:val="18"/>
                <w:szCs w:val="18"/>
              </w:rPr>
              <w:t>　</w:t>
            </w:r>
          </w:p>
        </w:tc>
      </w:tr>
    </w:tbl>
    <w:p>
      <w:pPr>
        <w:keepNext w:val="0"/>
        <w:keepLines w:val="0"/>
        <w:widowControl/>
        <w:suppressLineNumbers w:val="0"/>
        <w:spacing w:before="0" w:beforeLines="0" w:beforeAutospacing="0" w:after="0" w:afterLines="0" w:afterAutospacing="0" w:line="580" w:lineRule="exact"/>
        <w:ind w:left="0" w:right="0" w:firstLine="600"/>
        <w:rPr>
          <w:rFonts w:hint="default" w:ascii="仿宋_GB2312" w:eastAsia="仿宋_GB2312" w:cs="仿宋_GB2312"/>
          <w:color w:val="auto"/>
          <w:kern w:val="2"/>
          <w:sz w:val="32"/>
          <w:szCs w:val="32"/>
          <w:lang w:val="en-US" w:eastAsia="zh-CN"/>
        </w:rPr>
      </w:pP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四、其他重要事项的情况说明</w:t>
      </w:r>
    </w:p>
    <w:p>
      <w:pPr>
        <w:keepNext w:val="0"/>
        <w:keepLines w:val="0"/>
        <w:widowControl/>
        <w:suppressLineNumbers w:val="0"/>
        <w:spacing w:before="0" w:beforeLines="0" w:beforeAutospacing="0" w:after="0" w:afterLines="0" w:afterAutospacing="0" w:line="580" w:lineRule="exact"/>
        <w:ind w:left="0" w:right="0" w:firstLine="600"/>
        <w:rPr>
          <w:rFonts w:hint="eastAsia" w:ascii="仿宋_GB2312" w:eastAsia="仿宋_GB2312" w:cs="仿宋_GB2312"/>
          <w:color w:val="auto"/>
          <w:kern w:val="2"/>
          <w:sz w:val="32"/>
          <w:szCs w:val="32"/>
        </w:rPr>
      </w:pPr>
      <w:r>
        <w:rPr>
          <w:rFonts w:hint="eastAsia" w:ascii="仿宋_GB2312" w:eastAsia="仿宋_GB2312" w:cs="仿宋_GB2312"/>
          <w:color w:val="auto"/>
          <w:kern w:val="2"/>
          <w:sz w:val="32"/>
          <w:szCs w:val="32"/>
        </w:rPr>
        <w:t>（一）机关运行经费支出情况</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本部门2019年度机关运行经费支出0.00万元，比2018年增加（减少）0.00万元，增长（降低）0.00%。</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（二）政府采购支出情况</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本部门2019年度政府采购支出合计0.00万元，其中：政府采购货物支出0.00万元</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比2018年增加0.00万元，增长0.00%；政府采购工程支出0.00万元，比2018年增加0.00万元，增长0.00%；政府采购服务支出0.00万元，比2018年增加0.00万元，增长0.00%。授予中小企业合同金额0.00万元，。</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（三）国有资产占用情况</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截至2019年12月31日，本部门共有车辆4辆，其中，副部（省）级及以上领导用车0辆;主要领导干部用车0辆;机要通信用车0辆;应急保障用车0辆;执法执勤用车4辆；特种专业技术用车0辆；离退休干部用车0辆；其他用车0辆。单位价值50万元以上通用设备0台（套），比2018年增加0.00台（套）;单位价值100万元以上专用设备0台（套），比2018年增加0.00台（套）。</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 xml:space="preserve"> </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b/>
          <w:color w:val="auto"/>
          <w:kern w:val="2"/>
          <w:sz w:val="32"/>
          <w:szCs w:val="32"/>
        </w:rPr>
      </w:pPr>
      <w:r>
        <w:rPr>
          <w:rFonts w:hint="eastAsia" w:ascii="仿宋_GB2312" w:eastAsia="仿宋_GB2312" w:cs="仿宋_GB2312"/>
          <w:b/>
          <w:color w:val="auto"/>
          <w:kern w:val="2"/>
          <w:sz w:val="32"/>
          <w:szCs w:val="32"/>
        </w:rPr>
        <w:t>第三部分 名词解释</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（一）财政拨款收入：指本年度从本级财政部门取得的财政拨款，包括一般公共预算财政拨款和政府性基金预算财政拨款。</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（二）事业收入：指事业单位开展专业业务活动及其辅助活动取得的收入；事业单位收到的财政专户实际核拨的教育收费等资金。</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（三）经营收入：指事业单位在专业业务活动及其辅助活动之外开展非独立核算经营活动取得的收入。</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五）用事业基金弥补收支差额：指事业单位在当年的“财政拨款收入”、“财政拨款结转和结余资金”、“事业收入”、“事业单位经营收入”、“其他收入”不足以安排当年支出的情况下，使用以前年度累积的事业基金（当年收支相抵后按国家规定提取、用于弥补以后年度收支差额的基金）弥补本年收支缺口的资金。</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（六）年初结转和结余：</w:t>
      </w:r>
      <w:r>
        <w:rPr>
          <w:rFonts w:hint="eastAsia" w:ascii="仿宋_GB2312" w:eastAsia="仿宋_GB2312" w:cs="仿宋_GB2312"/>
          <w:color w:val="auto"/>
          <w:kern w:val="2"/>
          <w:sz w:val="32"/>
          <w:szCs w:val="32"/>
          <w:highlight w:val="white"/>
        </w:rPr>
        <w:t>指以前年度支出预算因客观条件变化未执行完毕、结转到本年度按有关规定继续使用的资金。</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（七）结余分配</w:t>
      </w:r>
      <w:r>
        <w:rPr>
          <w:rFonts w:hint="eastAsia" w:ascii="仿宋_GB2312" w:eastAsia="仿宋_GB2312" w:cs="仿宋_GB2312"/>
          <w:color w:val="auto"/>
          <w:kern w:val="2"/>
          <w:sz w:val="32"/>
          <w:szCs w:val="32"/>
          <w:highlight w:val="white"/>
        </w:rPr>
        <w:t>：指事业单位按照会计制度规定缴纳的所得税以及从非财政拨款结余中提取的职工福利基金、事业基金等。</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（八）年末结转和结余</w:t>
      </w:r>
      <w:r>
        <w:rPr>
          <w:rFonts w:hint="eastAsia" w:ascii="仿宋_GB2312" w:eastAsia="仿宋_GB2312" w:cs="仿宋_GB2312"/>
          <w:color w:val="auto"/>
          <w:kern w:val="2"/>
          <w:sz w:val="32"/>
          <w:szCs w:val="32"/>
          <w:highlight w:val="white"/>
        </w:rPr>
        <w:t>：指单位本年度或以前年度预算安排、因客观条件发生变化未全部执行或未执行，结转到以后年度继续使用的资金，或项目已完成等产生的结余资金。</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（九）基本支出：指为保障机构正常运转、完成日常工作任务而发生的人员经费和公用经费。其中：人员经费指政府收支分类经济科目中的</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工资福利支出</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和</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对个人和家庭的补助</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；公用经费指政府收支分类经济科目中除</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工资福利支出</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和</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对个人和家庭的补助</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外的其他支出。</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（十）项目支出：指在基本支出之外为完成特定任务和事业发展目标所发生的支出。</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（十一）经营支出：指事业单位在专业业务活动及其辅助活动之外开展非独立核算经营活动发生的支出。</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（十二）</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三公</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（十四）工资福利支出（支出经济分类科目类级）：反映单位开支的在职职工和编制外长期聘用人员的各类劳动报酬，以及为上述人员缴纳的各项社会保险费等。</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（十五）商品和服务支出（支出经济分类科目类级）：反映单位购买商品和服务的支出（不包括用于购置固定资产的支出、战略性和应急储备支出）。</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（十六）对个人和家庭的补助（支出经济分类科目类级）：反映用于对个人和家庭的补助支出。</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 xml:space="preserve"> </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b/>
          <w:color w:val="auto"/>
          <w:kern w:val="2"/>
          <w:sz w:val="32"/>
          <w:szCs w:val="32"/>
        </w:rPr>
      </w:pPr>
      <w:r>
        <w:rPr>
          <w:rFonts w:hint="eastAsia" w:ascii="仿宋_GB2312" w:eastAsia="仿宋_GB2312" w:cs="仿宋_GB2312"/>
          <w:b/>
          <w:color w:val="auto"/>
          <w:kern w:val="2"/>
          <w:sz w:val="32"/>
          <w:szCs w:val="32"/>
        </w:rPr>
        <w:t>第四部分 决算公开联系方式及信息反馈渠道</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2"/>
          <w:sz w:val="32"/>
          <w:szCs w:val="32"/>
        </w:rPr>
      </w:pPr>
      <w:r>
        <w:rPr>
          <w:rFonts w:hint="eastAsia" w:ascii="仿宋_GB2312" w:eastAsia="仿宋_GB2312" w:cs="仿宋_GB2312"/>
          <w:color w:val="auto"/>
          <w:kern w:val="2"/>
          <w:sz w:val="32"/>
          <w:szCs w:val="32"/>
        </w:rPr>
        <w:t>本单位决算公开信息反馈和联系方式：</w:t>
      </w:r>
    </w:p>
    <w:p>
      <w:pPr>
        <w:keepNext w:val="0"/>
        <w:keepLines w:val="0"/>
        <w:widowControl/>
        <w:suppressLineNumbers w:val="0"/>
        <w:spacing w:before="0" w:beforeLines="0" w:beforeAutospacing="0" w:after="0" w:afterLines="0" w:afterAutospacing="0" w:line="580" w:lineRule="exact"/>
        <w:ind w:left="0" w:right="0" w:firstLine="600"/>
        <w:rPr>
          <w:rFonts w:hint="default" w:ascii="Times New Roman" w:hAnsi="Times New Roman" w:cs="Times New Roman"/>
          <w:color w:val="auto"/>
          <w:kern w:val="0"/>
          <w:sz w:val="18"/>
          <w:szCs w:val="18"/>
        </w:rPr>
      </w:pPr>
      <w:r>
        <w:rPr>
          <w:rFonts w:hint="eastAsia" w:ascii="仿宋_GB2312" w:eastAsia="仿宋_GB2312" w:cs="仿宋_GB2312"/>
          <w:color w:val="auto"/>
          <w:kern w:val="2"/>
          <w:sz w:val="32"/>
          <w:szCs w:val="32"/>
        </w:rPr>
        <w:t>联系人：马新亮    联系电话：0477</w:t>
      </w:r>
      <w:r>
        <w:rPr>
          <w:rFonts w:hint="default" w:ascii="Times New Roman" w:hAnsi="Times New Roman" w:cs="Times New Roman"/>
          <w:color w:val="auto"/>
          <w:kern w:val="2"/>
          <w:sz w:val="32"/>
          <w:szCs w:val="32"/>
        </w:rPr>
        <w:t>-</w:t>
      </w:r>
      <w:r>
        <w:rPr>
          <w:rFonts w:hint="eastAsia" w:ascii="仿宋_GB2312" w:eastAsia="仿宋_GB2312" w:cs="仿宋_GB2312"/>
          <w:color w:val="auto"/>
          <w:kern w:val="2"/>
          <w:sz w:val="32"/>
          <w:szCs w:val="32"/>
        </w:rPr>
        <w:t>8115061</w:t>
      </w:r>
    </w:p>
    <w:p>
      <w:pPr>
        <w:keepNext w:val="0"/>
        <w:keepLines w:val="0"/>
        <w:widowControl/>
        <w:suppressLineNumbers w:val="0"/>
        <w:spacing w:before="0" w:beforeLines="0" w:beforeAutospacing="0" w:after="0" w:afterLines="0" w:afterAutospacing="0"/>
        <w:ind w:left="0" w:right="0"/>
        <w:jc w:val="left"/>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p>
      <w:pPr>
        <w:keepNext w:val="0"/>
        <w:keepLines w:val="0"/>
        <w:widowControl/>
        <w:suppressLineNumbers w:val="0"/>
        <w:spacing w:before="0" w:beforeLines="0" w:beforeAutospacing="0" w:after="0" w:afterLines="0" w:afterAutospacing="0"/>
        <w:ind w:left="0" w:right="0"/>
        <w:jc w:val="left"/>
        <w:rPr>
          <w:rFonts w:hint="default" w:ascii="Times New Roman" w:hAnsi="Times New Roman" w:cs="Times New Roman"/>
          <w:b/>
          <w:color w:val="auto"/>
          <w:kern w:val="2"/>
          <w:sz w:val="36"/>
          <w:szCs w:val="36"/>
        </w:rPr>
      </w:pPr>
      <w:r>
        <w:rPr>
          <w:rFonts w:hint="default" w:ascii="Times New Roman" w:hAnsi="Times New Roman" w:cs="Times New Roman"/>
          <w:b/>
          <w:color w:val="auto"/>
          <w:kern w:val="2"/>
          <w:sz w:val="36"/>
          <w:szCs w:val="36"/>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F579D"/>
    <w:rsid w:val="102C492B"/>
    <w:rsid w:val="6A7811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vanish/>
    </w:rPr>
  </w:style>
  <w:style w:type="character" w:styleId="13">
    <w:name w:val="FollowedHyperlink"/>
    <w:basedOn w:val="11"/>
    <w:qFormat/>
    <w:uiPriority w:val="0"/>
    <w:rPr>
      <w:rFonts w:hint="eastAsia" w:ascii="微软雅黑" w:hAnsi="微软雅黑" w:eastAsia="微软雅黑" w:cs="微软雅黑"/>
      <w:color w:val="000000"/>
      <w:u w:val="none"/>
    </w:rPr>
  </w:style>
  <w:style w:type="character" w:styleId="14">
    <w:name w:val="Emphasis"/>
    <w:basedOn w:val="11"/>
    <w:qFormat/>
    <w:uiPriority w:val="0"/>
  </w:style>
  <w:style w:type="character" w:styleId="15">
    <w:name w:val="HTML Definition"/>
    <w:basedOn w:val="11"/>
    <w:qFormat/>
    <w:uiPriority w:val="0"/>
    <w:rPr>
      <w:i/>
    </w:rPr>
  </w:style>
  <w:style w:type="character" w:styleId="16">
    <w:name w:val="Hyperlink"/>
    <w:basedOn w:val="11"/>
    <w:qFormat/>
    <w:uiPriority w:val="0"/>
    <w:rPr>
      <w:rFonts w:ascii="微软雅黑" w:hAnsi="微软雅黑" w:eastAsia="微软雅黑" w:cs="微软雅黑"/>
      <w:color w:val="000000"/>
      <w:u w:val="none"/>
    </w:rPr>
  </w:style>
  <w:style w:type="character" w:styleId="17">
    <w:name w:val="HTML Code"/>
    <w:basedOn w:val="11"/>
    <w:qFormat/>
    <w:uiPriority w:val="0"/>
    <w:rPr>
      <w:rFonts w:hint="default" w:ascii="Consolas" w:hAnsi="Consolas" w:eastAsia="Consolas" w:cs="Consolas"/>
      <w:color w:val="C7254E"/>
      <w:sz w:val="21"/>
      <w:szCs w:val="21"/>
      <w:shd w:val="clear" w:fill="F9F2F4"/>
    </w:rPr>
  </w:style>
  <w:style w:type="character" w:styleId="18">
    <w:name w:val="HTML Keyboard"/>
    <w:basedOn w:val="11"/>
    <w:qFormat/>
    <w:uiPriority w:val="0"/>
    <w:rPr>
      <w:rFonts w:hint="default" w:ascii="Consolas" w:hAnsi="Consolas" w:eastAsia="Consolas" w:cs="Consolas"/>
      <w:color w:val="FFFFFF"/>
      <w:sz w:val="21"/>
      <w:szCs w:val="21"/>
      <w:shd w:val="clear" w:fill="333333"/>
    </w:rPr>
  </w:style>
  <w:style w:type="character" w:styleId="19">
    <w:name w:val="HTML Sample"/>
    <w:basedOn w:val="11"/>
    <w:qFormat/>
    <w:uiPriority w:val="0"/>
    <w:rPr>
      <w:rFonts w:ascii="Consolas" w:hAnsi="Consolas" w:eastAsia="Consolas" w:cs="Consolas"/>
      <w:sz w:val="21"/>
      <w:szCs w:val="21"/>
    </w:rPr>
  </w:style>
  <w:style w:type="character" w:customStyle="1" w:styleId="20">
    <w:name w:val="hover29"/>
    <w:basedOn w:val="11"/>
    <w:qFormat/>
    <w:uiPriority w:val="0"/>
  </w:style>
  <w:style w:type="character" w:customStyle="1" w:styleId="21">
    <w:name w:val="hover31"/>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2020-09-18T09:25:00Z</dcterms:created>
  <dc:creator>ssqha</dc:creator>
  <cp:lastModifiedBy>王大可</cp:lastModifiedBy>
  <dcterms:modified xsi:type="dcterms:W3CDTF">2020-09-22T02:01:54Z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