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8"/>
        <w:ind w:right="-874"/>
        <w:jc w:val="both"/>
      </w:pPr>
    </w:p>
    <w:p>
      <w:pPr>
        <w:pStyle w:val="18"/>
        <w:ind w:right="-874"/>
        <w:rPr>
          <w:sz w:val="30"/>
          <w:szCs w:val="30"/>
        </w:rPr>
      </w:pPr>
      <w:r>
        <w:rPr>
          <w:rFonts w:hint="eastAsia"/>
          <w:color w:val="000000" w:themeColor="text1"/>
          <w:sz w:val="30"/>
          <w:szCs w:val="30"/>
          <w14:textFill>
            <w14:solidFill>
              <w14:schemeClr w14:val="tx1"/>
            </w14:solidFill>
          </w14:textFill>
        </w:rPr>
        <w:t>202</w:t>
      </w:r>
      <w:r>
        <w:rPr>
          <w:color w:val="000000" w:themeColor="text1"/>
          <w:sz w:val="30"/>
          <w:szCs w:val="30"/>
          <w14:textFill>
            <w14:solidFill>
              <w14:schemeClr w14:val="tx1"/>
            </w14:solidFill>
          </w14:textFill>
        </w:rPr>
        <w:t>2</w:t>
      </w:r>
      <w:r>
        <w:rPr>
          <w:rFonts w:hint="eastAsia"/>
          <w:color w:val="000000" w:themeColor="text1"/>
          <w:sz w:val="30"/>
          <w:szCs w:val="30"/>
          <w14:textFill>
            <w14:solidFill>
              <w14:schemeClr w14:val="tx1"/>
            </w14:solidFill>
          </w14:textFill>
        </w:rPr>
        <w:t>年鄂尔多斯市水泥</w:t>
      </w:r>
      <w:r>
        <w:rPr>
          <w:sz w:val="30"/>
          <w:szCs w:val="30"/>
        </w:rPr>
        <w:t>产品质量</w:t>
      </w:r>
      <w:bookmarkStart w:id="0" w:name="_GoBack"/>
      <w:bookmarkEnd w:id="0"/>
      <w:r>
        <w:rPr>
          <w:sz w:val="30"/>
          <w:szCs w:val="30"/>
        </w:rPr>
        <w:t>监督抽查</w:t>
      </w:r>
      <w:r>
        <w:rPr>
          <w:rFonts w:hint="eastAsia"/>
          <w:sz w:val="30"/>
          <w:szCs w:val="30"/>
        </w:rPr>
        <w:t>实施细则</w:t>
      </w:r>
    </w:p>
    <w:p>
      <w:pPr>
        <w:pStyle w:val="15"/>
      </w:pPr>
      <w:r>
        <w:rPr>
          <w:rFonts w:hint="eastAsia"/>
        </w:rPr>
        <w:t>1 抽样方法</w:t>
      </w:r>
    </w:p>
    <w:p>
      <w:pPr>
        <w:pStyle w:val="13"/>
        <w:ind w:firstLine="560"/>
      </w:pPr>
      <w:r>
        <w:rPr>
          <w:rFonts w:hint="eastAsia"/>
        </w:rPr>
        <w:t>按GB12573《水泥取样方法》进行。抽样基数应满足出厂编号规定的吨位。编号吨位不足时，不得少于1吨。</w:t>
      </w:r>
    </w:p>
    <w:p>
      <w:pPr>
        <w:pStyle w:val="13"/>
        <w:ind w:firstLine="560"/>
      </w:pPr>
      <w:r>
        <w:rPr>
          <w:rFonts w:hint="eastAsia"/>
        </w:rPr>
        <w:t>袋装水泥从企业的栈台抽取。确定1个出厂编号的水泥，在该编号的水泥中随机从20包以上的袋装水泥中取等量样品，取样数量为20kg，缩分为二等分。</w:t>
      </w:r>
    </w:p>
    <w:p>
      <w:pPr>
        <w:pStyle w:val="13"/>
        <w:ind w:firstLine="560"/>
      </w:pPr>
      <w:r>
        <w:rPr>
          <w:rFonts w:hint="eastAsia"/>
        </w:rPr>
        <w:t>散装水泥从散装库卸料或输送水泥运输机具上，在规定的出厂编号吨位范围内，间隔抽取20次以上样品，取样数量为20kg，缩分为二等分。</w:t>
      </w:r>
    </w:p>
    <w:p>
      <w:pPr>
        <w:pStyle w:val="13"/>
        <w:ind w:firstLine="560"/>
      </w:pPr>
      <w:r>
        <w:rPr>
          <w:rFonts w:hint="eastAsia"/>
        </w:rPr>
        <w:t>缩分后的两等份样品中，一份为检验样品，一份为备用样品。</w:t>
      </w:r>
    </w:p>
    <w:p>
      <w:pPr>
        <w:pStyle w:val="15"/>
      </w:pPr>
      <w:r>
        <w:rPr>
          <w:rFonts w:hint="eastAsia"/>
        </w:rPr>
        <w:t>2 检验依据</w:t>
      </w:r>
    </w:p>
    <w:p>
      <w:pPr>
        <w:pStyle w:val="17"/>
      </w:pPr>
      <w:r>
        <w:rPr>
          <w:rFonts w:hint="eastAsia"/>
          <w:b w:val="0"/>
          <w:bCs/>
        </w:rPr>
        <w:t>表1 水泥</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4"/>
        <w:gridCol w:w="3632"/>
        <w:gridCol w:w="40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719" w:type="pct"/>
            <w:vMerge w:val="restart"/>
            <w:shd w:val="clear" w:color="auto" w:fill="auto"/>
            <w:vAlign w:val="center"/>
          </w:tcPr>
          <w:p>
            <w:pPr>
              <w:pStyle w:val="16"/>
              <w:jc w:val="center"/>
            </w:pPr>
            <w:r>
              <w:rPr>
                <w:rFonts w:hint="eastAsia"/>
              </w:rPr>
              <w:t>序号</w:t>
            </w:r>
          </w:p>
        </w:tc>
        <w:tc>
          <w:tcPr>
            <w:tcW w:w="2017" w:type="pct"/>
            <w:vMerge w:val="restart"/>
            <w:shd w:val="clear" w:color="auto" w:fill="auto"/>
            <w:vAlign w:val="center"/>
          </w:tcPr>
          <w:p>
            <w:pPr>
              <w:pStyle w:val="16"/>
              <w:jc w:val="center"/>
            </w:pPr>
            <w:r>
              <w:rPr>
                <w:rFonts w:hint="eastAsia"/>
              </w:rPr>
              <w:t>检验项目</w:t>
            </w:r>
          </w:p>
        </w:tc>
        <w:tc>
          <w:tcPr>
            <w:tcW w:w="2264" w:type="pct"/>
            <w:vMerge w:val="restart"/>
            <w:shd w:val="clear" w:color="auto" w:fill="auto"/>
            <w:vAlign w:val="center"/>
          </w:tcPr>
          <w:p>
            <w:pPr>
              <w:pStyle w:val="16"/>
              <w:jc w:val="center"/>
            </w:pPr>
            <w:r>
              <w:rPr>
                <w:rFonts w:hint="eastAsia"/>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719" w:type="pct"/>
            <w:vMerge w:val="continue"/>
            <w:shd w:val="clear" w:color="auto" w:fill="auto"/>
            <w:vAlign w:val="center"/>
          </w:tcPr>
          <w:p>
            <w:pPr>
              <w:pStyle w:val="16"/>
              <w:jc w:val="center"/>
            </w:pPr>
          </w:p>
        </w:tc>
        <w:tc>
          <w:tcPr>
            <w:tcW w:w="2017" w:type="pct"/>
            <w:vMerge w:val="continue"/>
            <w:shd w:val="clear" w:color="auto" w:fill="auto"/>
            <w:vAlign w:val="center"/>
          </w:tcPr>
          <w:p>
            <w:pPr>
              <w:pStyle w:val="16"/>
              <w:jc w:val="center"/>
            </w:pPr>
          </w:p>
        </w:tc>
        <w:tc>
          <w:tcPr>
            <w:tcW w:w="2264" w:type="pct"/>
            <w:vMerge w:val="continue"/>
            <w:shd w:val="clear" w:color="auto" w:fill="auto"/>
            <w:vAlign w:val="center"/>
          </w:tcPr>
          <w:p>
            <w:pPr>
              <w:pStyle w:val="16"/>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719" w:type="pct"/>
            <w:shd w:val="clear" w:color="auto" w:fill="auto"/>
            <w:vAlign w:val="center"/>
          </w:tcPr>
          <w:p>
            <w:pPr>
              <w:pStyle w:val="16"/>
              <w:jc w:val="center"/>
            </w:pPr>
            <w:r>
              <w:rPr>
                <w:rFonts w:hint="eastAsia"/>
              </w:rPr>
              <w:t>1</w:t>
            </w:r>
          </w:p>
        </w:tc>
        <w:tc>
          <w:tcPr>
            <w:tcW w:w="2017" w:type="pct"/>
            <w:shd w:val="clear" w:color="auto" w:fill="auto"/>
            <w:vAlign w:val="center"/>
          </w:tcPr>
          <w:p>
            <w:pPr>
              <w:pStyle w:val="16"/>
              <w:jc w:val="center"/>
            </w:pPr>
            <w:r>
              <w:rPr>
                <w:rFonts w:hint="eastAsia"/>
              </w:rPr>
              <w:t>三氧化硫</w:t>
            </w:r>
          </w:p>
        </w:tc>
        <w:tc>
          <w:tcPr>
            <w:tcW w:w="2264" w:type="pct"/>
            <w:shd w:val="clear" w:color="auto" w:fill="auto"/>
            <w:vAlign w:val="center"/>
          </w:tcPr>
          <w:p>
            <w:pPr>
              <w:pStyle w:val="16"/>
              <w:jc w:val="center"/>
            </w:pPr>
            <w:r>
              <w:t>GB/T 176-2017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719" w:type="pct"/>
            <w:shd w:val="clear" w:color="auto" w:fill="auto"/>
            <w:vAlign w:val="center"/>
          </w:tcPr>
          <w:p>
            <w:pPr>
              <w:pStyle w:val="16"/>
              <w:jc w:val="center"/>
            </w:pPr>
            <w:r>
              <w:rPr>
                <w:rFonts w:hint="eastAsia"/>
              </w:rPr>
              <w:t>2</w:t>
            </w:r>
          </w:p>
        </w:tc>
        <w:tc>
          <w:tcPr>
            <w:tcW w:w="2017" w:type="pct"/>
            <w:shd w:val="clear" w:color="auto" w:fill="auto"/>
            <w:vAlign w:val="center"/>
          </w:tcPr>
          <w:p>
            <w:pPr>
              <w:pStyle w:val="16"/>
              <w:jc w:val="center"/>
            </w:pPr>
            <w:r>
              <w:rPr>
                <w:rFonts w:hint="eastAsia"/>
              </w:rPr>
              <w:t>氧化镁</w:t>
            </w:r>
          </w:p>
        </w:tc>
        <w:tc>
          <w:tcPr>
            <w:tcW w:w="2264" w:type="pct"/>
            <w:shd w:val="clear" w:color="auto" w:fill="auto"/>
            <w:vAlign w:val="center"/>
          </w:tcPr>
          <w:p>
            <w:pPr>
              <w:pStyle w:val="16"/>
              <w:jc w:val="center"/>
            </w:pPr>
            <w:r>
              <w:t>GB/T 176-2017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719" w:type="pct"/>
            <w:shd w:val="clear" w:color="auto" w:fill="auto"/>
            <w:vAlign w:val="center"/>
          </w:tcPr>
          <w:p>
            <w:pPr>
              <w:pStyle w:val="16"/>
              <w:jc w:val="center"/>
            </w:pPr>
            <w:r>
              <w:rPr>
                <w:rFonts w:hint="eastAsia"/>
              </w:rPr>
              <w:t>3</w:t>
            </w:r>
          </w:p>
        </w:tc>
        <w:tc>
          <w:tcPr>
            <w:tcW w:w="2017" w:type="pct"/>
            <w:shd w:val="clear" w:color="auto" w:fill="auto"/>
            <w:vAlign w:val="center"/>
          </w:tcPr>
          <w:p>
            <w:pPr>
              <w:pStyle w:val="16"/>
              <w:jc w:val="center"/>
            </w:pPr>
            <w:r>
              <w:rPr>
                <w:rFonts w:hint="eastAsia"/>
              </w:rPr>
              <w:t>烧失量</w:t>
            </w:r>
          </w:p>
        </w:tc>
        <w:tc>
          <w:tcPr>
            <w:tcW w:w="2264" w:type="pct"/>
            <w:shd w:val="clear" w:color="auto" w:fill="auto"/>
            <w:vAlign w:val="center"/>
          </w:tcPr>
          <w:p>
            <w:pPr>
              <w:pStyle w:val="16"/>
              <w:jc w:val="center"/>
            </w:pPr>
            <w:r>
              <w:t>GB/T 176-2017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719" w:type="pct"/>
            <w:shd w:val="clear" w:color="auto" w:fill="auto"/>
            <w:vAlign w:val="center"/>
          </w:tcPr>
          <w:p>
            <w:pPr>
              <w:pStyle w:val="16"/>
              <w:jc w:val="center"/>
            </w:pPr>
            <w:r>
              <w:rPr>
                <w:rFonts w:hint="eastAsia"/>
              </w:rPr>
              <w:t>4</w:t>
            </w:r>
          </w:p>
        </w:tc>
        <w:tc>
          <w:tcPr>
            <w:tcW w:w="2017" w:type="pct"/>
            <w:shd w:val="clear" w:color="auto" w:fill="auto"/>
            <w:vAlign w:val="center"/>
          </w:tcPr>
          <w:p>
            <w:pPr>
              <w:pStyle w:val="16"/>
              <w:jc w:val="center"/>
            </w:pPr>
            <w:r>
              <w:rPr>
                <w:rFonts w:hint="eastAsia"/>
              </w:rPr>
              <w:t>氯离子</w:t>
            </w:r>
          </w:p>
        </w:tc>
        <w:tc>
          <w:tcPr>
            <w:tcW w:w="2264" w:type="pct"/>
            <w:shd w:val="clear" w:color="auto" w:fill="auto"/>
            <w:vAlign w:val="center"/>
          </w:tcPr>
          <w:p>
            <w:pPr>
              <w:pStyle w:val="16"/>
              <w:jc w:val="center"/>
            </w:pPr>
            <w:r>
              <w:rPr>
                <w:rFonts w:hint="eastAsia"/>
              </w:rPr>
              <w:t>GB 175-2007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719" w:type="pct"/>
            <w:shd w:val="clear" w:color="auto" w:fill="auto"/>
            <w:vAlign w:val="center"/>
          </w:tcPr>
          <w:p>
            <w:pPr>
              <w:pStyle w:val="16"/>
              <w:jc w:val="center"/>
            </w:pPr>
            <w:r>
              <w:rPr>
                <w:rFonts w:hint="eastAsia"/>
              </w:rPr>
              <w:t>5</w:t>
            </w:r>
          </w:p>
        </w:tc>
        <w:tc>
          <w:tcPr>
            <w:tcW w:w="2017" w:type="pct"/>
            <w:shd w:val="clear" w:color="auto" w:fill="auto"/>
            <w:vAlign w:val="center"/>
          </w:tcPr>
          <w:p>
            <w:pPr>
              <w:pStyle w:val="16"/>
              <w:jc w:val="center"/>
            </w:pPr>
            <w:r>
              <w:rPr>
                <w:rFonts w:hint="eastAsia"/>
              </w:rPr>
              <w:t>强度</w:t>
            </w:r>
          </w:p>
        </w:tc>
        <w:tc>
          <w:tcPr>
            <w:tcW w:w="2264" w:type="pct"/>
            <w:shd w:val="clear" w:color="auto" w:fill="auto"/>
            <w:vAlign w:val="center"/>
          </w:tcPr>
          <w:p>
            <w:pPr>
              <w:pStyle w:val="16"/>
              <w:jc w:val="center"/>
            </w:pPr>
            <w:r>
              <w:t>GB/T 17671-1999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719" w:type="pct"/>
            <w:shd w:val="clear" w:color="auto" w:fill="auto"/>
            <w:vAlign w:val="center"/>
          </w:tcPr>
          <w:p>
            <w:pPr>
              <w:pStyle w:val="16"/>
              <w:jc w:val="center"/>
            </w:pPr>
            <w:r>
              <w:rPr>
                <w:rFonts w:hint="eastAsia"/>
              </w:rPr>
              <w:t>6</w:t>
            </w:r>
          </w:p>
        </w:tc>
        <w:tc>
          <w:tcPr>
            <w:tcW w:w="2017" w:type="pct"/>
            <w:shd w:val="clear" w:color="auto" w:fill="auto"/>
            <w:vAlign w:val="center"/>
          </w:tcPr>
          <w:p>
            <w:pPr>
              <w:pStyle w:val="16"/>
              <w:jc w:val="center"/>
            </w:pPr>
            <w:r>
              <w:rPr>
                <w:rFonts w:hint="eastAsia"/>
              </w:rPr>
              <w:t>凝结时间</w:t>
            </w:r>
          </w:p>
        </w:tc>
        <w:tc>
          <w:tcPr>
            <w:tcW w:w="2264" w:type="pct"/>
            <w:shd w:val="clear" w:color="auto" w:fill="auto"/>
            <w:vAlign w:val="center"/>
          </w:tcPr>
          <w:p>
            <w:pPr>
              <w:pStyle w:val="16"/>
              <w:jc w:val="center"/>
            </w:pPr>
            <w:r>
              <w:t>GB/T 1346-2011</w:t>
            </w:r>
          </w:p>
        </w:tc>
      </w:tr>
    </w:tbl>
    <w:p>
      <w:pPr>
        <w:pStyle w:val="15"/>
        <w:ind w:firstLine="560" w:firstLineChars="200"/>
        <w:rPr>
          <w:b w:val="0"/>
          <w:bCs/>
        </w:rPr>
      </w:pPr>
      <w:r>
        <w:rPr>
          <w:rFonts w:hint="eastAsia"/>
          <w:b w:val="0"/>
          <w:bCs/>
        </w:rPr>
        <w:t>执行企业标准、团体标准、地方标准的产品，检验项目参照上述内容执行。</w:t>
      </w:r>
    </w:p>
    <w:p>
      <w:pPr>
        <w:pStyle w:val="15"/>
        <w:ind w:firstLine="560" w:firstLineChars="200"/>
      </w:pPr>
      <w:r>
        <w:rPr>
          <w:rFonts w:hint="eastAsia"/>
          <w:b w:val="0"/>
          <w:bCs/>
        </w:rPr>
        <w:t>凡是注日期的文件，其随后所有的修改单（不包括勘误的内容）或修订版不适用于本细则。凡是不注日期的文件，其最新版本适用于本细则。</w:t>
      </w:r>
    </w:p>
    <w:p>
      <w:pPr>
        <w:pStyle w:val="15"/>
        <w:rPr>
          <w:b w:val="0"/>
          <w:bCs/>
        </w:rPr>
      </w:pPr>
      <w:r>
        <w:rPr>
          <w:rFonts w:hint="eastAsia"/>
        </w:rPr>
        <w:t>3 判定规则</w:t>
      </w:r>
    </w:p>
    <w:p>
      <w:pPr>
        <w:pStyle w:val="15"/>
        <w:ind w:firstLine="560" w:firstLineChars="200"/>
      </w:pPr>
      <w:r>
        <w:rPr>
          <w:rFonts w:hint="eastAsia"/>
          <w:b w:val="0"/>
          <w:bCs/>
        </w:rPr>
        <w:t>3.1依据标准</w:t>
      </w:r>
    </w:p>
    <w:p>
      <w:pPr>
        <w:pStyle w:val="13"/>
        <w:ind w:firstLine="560"/>
      </w:pPr>
      <w:r>
        <w:rPr>
          <w:rFonts w:hint="eastAsia"/>
        </w:rPr>
        <w:t>GB 175-2007</w:t>
      </w:r>
      <w:r>
        <w:rPr>
          <w:rFonts w:hint="eastAsia"/>
        </w:rPr>
        <w:tab/>
      </w:r>
      <w:r>
        <w:rPr>
          <w:rFonts w:hint="eastAsia"/>
        </w:rPr>
        <w:t>通用硅酸盐水泥</w:t>
      </w:r>
    </w:p>
    <w:p>
      <w:pPr>
        <w:pStyle w:val="13"/>
        <w:ind w:firstLine="560"/>
        <w:rPr>
          <w:b/>
          <w:bCs/>
        </w:rPr>
      </w:pPr>
      <w:r>
        <w:t>GB/T 176-2017</w:t>
      </w:r>
      <w:r>
        <w:rPr>
          <w:rFonts w:hint="eastAsia"/>
        </w:rPr>
        <w:t xml:space="preserve">  水泥化学分析方法</w:t>
      </w:r>
    </w:p>
    <w:p>
      <w:pPr>
        <w:pStyle w:val="13"/>
        <w:ind w:left="557" w:leftChars="232" w:firstLine="0" w:firstLineChars="0"/>
      </w:pPr>
      <w:r>
        <w:rPr>
          <w:rFonts w:hint="eastAsia"/>
        </w:rPr>
        <w:t>GB/T 17671-1999</w:t>
      </w:r>
      <w:r>
        <w:rPr>
          <w:rFonts w:hint="eastAsia"/>
        </w:rPr>
        <w:tab/>
      </w:r>
      <w:r>
        <w:rPr>
          <w:rFonts w:hint="eastAsia"/>
        </w:rPr>
        <w:t>水泥胶砂强度检验方法(ISO法)</w:t>
      </w:r>
      <w:r>
        <w:rPr>
          <w:rFonts w:hint="eastAsia"/>
        </w:rPr>
        <w:cr/>
      </w:r>
      <w:r>
        <w:rPr>
          <w:rFonts w:hint="eastAsia"/>
        </w:rPr>
        <w:t>GB/T 1346-2011</w:t>
      </w:r>
      <w:r>
        <w:rPr>
          <w:rFonts w:hint="eastAsia"/>
        </w:rPr>
        <w:tab/>
      </w:r>
      <w:r>
        <w:rPr>
          <w:rFonts w:hint="eastAsia"/>
        </w:rPr>
        <w:t>水泥标准稠度用水量、凝结时间、安定性检验方法</w:t>
      </w:r>
    </w:p>
    <w:p>
      <w:pPr>
        <w:pStyle w:val="13"/>
        <w:ind w:firstLine="556"/>
        <w:rPr>
          <w:spacing w:val="-1"/>
        </w:rPr>
      </w:pPr>
      <w:r>
        <w:rPr>
          <w:rFonts w:hint="eastAsia"/>
          <w:spacing w:val="-1"/>
        </w:rPr>
        <w:t>现行有效的企业标准、团体标准、地方标准及产品明示质量要求</w:t>
      </w:r>
    </w:p>
    <w:p>
      <w:pPr>
        <w:pStyle w:val="13"/>
        <w:ind w:firstLine="560"/>
      </w:pPr>
      <w:r>
        <w:rPr>
          <w:rFonts w:hint="eastAsia"/>
          <w:bCs/>
        </w:rPr>
        <w:t>3.2判定原则</w:t>
      </w:r>
    </w:p>
    <w:p>
      <w:pPr>
        <w:pStyle w:val="13"/>
        <w:ind w:firstLine="560"/>
      </w:pPr>
      <w:r>
        <w:rPr>
          <w:rFonts w:hint="eastAsia"/>
          <w:bCs/>
        </w:rPr>
        <w:t>经检验，检验项目全部合格，判定为被抽查产品所检项目未发现不合格；检验项目中任一项或一项以上不合格，判定为被抽查产品不合格。</w:t>
      </w:r>
    </w:p>
    <w:p>
      <w:pPr>
        <w:pStyle w:val="13"/>
        <w:ind w:firstLine="560"/>
      </w:pPr>
      <w:r>
        <w:rPr>
          <w:rFonts w:hint="eastAsia"/>
        </w:rPr>
        <w:t>若被检产品明示的质量要求高于本细则中检验项目依据的标准要求时，应按被检产品明示的质量要求判定。</w:t>
      </w:r>
    </w:p>
    <w:p>
      <w:pPr>
        <w:pStyle w:val="13"/>
        <w:ind w:firstLine="560"/>
      </w:pPr>
      <w:r>
        <w:rPr>
          <w:rFonts w:hint="eastAsia"/>
        </w:rPr>
        <w:t>若被检产品明示的质量要求低于本细则中检验项目依据的强制性标准要求时，应按照强制性标准要求判定。</w:t>
      </w:r>
    </w:p>
    <w:p>
      <w:pPr>
        <w:pStyle w:val="13"/>
        <w:ind w:firstLine="560"/>
      </w:pPr>
      <w:r>
        <w:rPr>
          <w:rFonts w:hint="eastAsia"/>
        </w:rPr>
        <w:t>若被检产品明示的质量要求低于或包含本细则中检验项目依据的推荐性标准要求时，应以被检产品明示的质量要求判定。</w:t>
      </w:r>
    </w:p>
    <w:p>
      <w:pPr>
        <w:pStyle w:val="13"/>
        <w:ind w:firstLine="560"/>
      </w:pPr>
      <w:r>
        <w:rPr>
          <w:rFonts w:hint="eastAsia"/>
        </w:rPr>
        <w:t>若被检产品明示的质量要求缺少本细则中检验项目依据的强制性标准要求时，应按照强制性标准要求判定。</w:t>
      </w:r>
    </w:p>
    <w:p>
      <w:pPr>
        <w:pStyle w:val="13"/>
        <w:ind w:firstLine="560"/>
      </w:pPr>
      <w:r>
        <w:rPr>
          <w:rFonts w:hint="eastAsia"/>
          <w:bCs/>
        </w:rPr>
        <w:t>若被检产品明示的质量要求缺少本细则中检验项目依据的推荐性标准要求时，该项目不参与判定，但应在检验报告备注中进行说明。</w:t>
      </w:r>
    </w:p>
    <w:sectPr>
      <w:pgSz w:w="11906" w:h="16838"/>
      <w:pgMar w:top="1304" w:right="1418" w:bottom="1304" w:left="1701"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617"/>
    <w:rsid w:val="00011B1E"/>
    <w:rsid w:val="00042460"/>
    <w:rsid w:val="0006525A"/>
    <w:rsid w:val="000B4312"/>
    <w:rsid w:val="000D3C1F"/>
    <w:rsid w:val="001175F7"/>
    <w:rsid w:val="00171928"/>
    <w:rsid w:val="00194AAE"/>
    <w:rsid w:val="001B3FFF"/>
    <w:rsid w:val="001D5C49"/>
    <w:rsid w:val="002332A7"/>
    <w:rsid w:val="00237F81"/>
    <w:rsid w:val="0029011D"/>
    <w:rsid w:val="002909E2"/>
    <w:rsid w:val="002B6693"/>
    <w:rsid w:val="002C4D0D"/>
    <w:rsid w:val="00303604"/>
    <w:rsid w:val="00340604"/>
    <w:rsid w:val="00387AD2"/>
    <w:rsid w:val="003C53CB"/>
    <w:rsid w:val="003D3217"/>
    <w:rsid w:val="00407B72"/>
    <w:rsid w:val="00437617"/>
    <w:rsid w:val="00453459"/>
    <w:rsid w:val="004D6675"/>
    <w:rsid w:val="00500AD7"/>
    <w:rsid w:val="005650CE"/>
    <w:rsid w:val="00592615"/>
    <w:rsid w:val="005F151D"/>
    <w:rsid w:val="00616A72"/>
    <w:rsid w:val="006C48D8"/>
    <w:rsid w:val="006E572F"/>
    <w:rsid w:val="006F5D5A"/>
    <w:rsid w:val="00700718"/>
    <w:rsid w:val="00722EED"/>
    <w:rsid w:val="007333AB"/>
    <w:rsid w:val="007634AE"/>
    <w:rsid w:val="00773463"/>
    <w:rsid w:val="00780D3F"/>
    <w:rsid w:val="00791583"/>
    <w:rsid w:val="007A6A71"/>
    <w:rsid w:val="007B373B"/>
    <w:rsid w:val="007E3620"/>
    <w:rsid w:val="007F0C03"/>
    <w:rsid w:val="00814694"/>
    <w:rsid w:val="00825254"/>
    <w:rsid w:val="008475D9"/>
    <w:rsid w:val="00861FD0"/>
    <w:rsid w:val="00883370"/>
    <w:rsid w:val="009164FB"/>
    <w:rsid w:val="00920038"/>
    <w:rsid w:val="00924261"/>
    <w:rsid w:val="00970F12"/>
    <w:rsid w:val="009821A1"/>
    <w:rsid w:val="00992296"/>
    <w:rsid w:val="00A339CC"/>
    <w:rsid w:val="00A555B3"/>
    <w:rsid w:val="00A75C44"/>
    <w:rsid w:val="00A8533F"/>
    <w:rsid w:val="00A92A16"/>
    <w:rsid w:val="00AC4267"/>
    <w:rsid w:val="00AC48C3"/>
    <w:rsid w:val="00BC0E27"/>
    <w:rsid w:val="00BC545D"/>
    <w:rsid w:val="00BF77CA"/>
    <w:rsid w:val="00C3423C"/>
    <w:rsid w:val="00D031E9"/>
    <w:rsid w:val="00D12DD2"/>
    <w:rsid w:val="00D13D0D"/>
    <w:rsid w:val="00D262D0"/>
    <w:rsid w:val="00D443A7"/>
    <w:rsid w:val="00D52566"/>
    <w:rsid w:val="00D57BF1"/>
    <w:rsid w:val="00DA137F"/>
    <w:rsid w:val="00DA2544"/>
    <w:rsid w:val="00DC4AF0"/>
    <w:rsid w:val="00E22FBC"/>
    <w:rsid w:val="00E306E7"/>
    <w:rsid w:val="00E5645F"/>
    <w:rsid w:val="00E82BA8"/>
    <w:rsid w:val="00EA1AB7"/>
    <w:rsid w:val="00EA6109"/>
    <w:rsid w:val="00EC71EC"/>
    <w:rsid w:val="00F707BB"/>
    <w:rsid w:val="00F963C4"/>
    <w:rsid w:val="00FA389D"/>
    <w:rsid w:val="00FC0616"/>
    <w:rsid w:val="02E24B01"/>
    <w:rsid w:val="041143BA"/>
    <w:rsid w:val="12DB6025"/>
    <w:rsid w:val="136D40F0"/>
    <w:rsid w:val="162055D1"/>
    <w:rsid w:val="36E707D1"/>
    <w:rsid w:val="51A83450"/>
    <w:rsid w:val="628D12A2"/>
    <w:rsid w:val="7C6C3EE0"/>
    <w:rsid w:val="7FDE124B"/>
    <w:rsid w:val="FDFE9BE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sz w:val="24"/>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1"/>
    <w:semiHidden/>
    <w:unhideWhenUsed/>
    <w:qFormat/>
    <w:uiPriority w:val="99"/>
    <w:pPr>
      <w:ind w:left="100" w:leftChars="2500"/>
    </w:pPr>
  </w:style>
  <w:style w:type="paragraph" w:styleId="3">
    <w:name w:val="Balloon Text"/>
    <w:basedOn w:val="1"/>
    <w:link w:val="12"/>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5"/>
    <w:qFormat/>
    <w:uiPriority w:val="99"/>
    <w:rPr>
      <w:sz w:val="18"/>
      <w:szCs w:val="18"/>
    </w:rPr>
  </w:style>
  <w:style w:type="character" w:customStyle="1" w:styleId="10">
    <w:name w:val="页脚 字符"/>
    <w:basedOn w:val="8"/>
    <w:link w:val="4"/>
    <w:qFormat/>
    <w:uiPriority w:val="99"/>
    <w:rPr>
      <w:sz w:val="18"/>
      <w:szCs w:val="18"/>
    </w:rPr>
  </w:style>
  <w:style w:type="character" w:customStyle="1" w:styleId="11">
    <w:name w:val="日期 字符"/>
    <w:basedOn w:val="8"/>
    <w:link w:val="2"/>
    <w:semiHidden/>
    <w:qFormat/>
    <w:uiPriority w:val="99"/>
    <w:rPr>
      <w:rFonts w:ascii="Times New Roman" w:hAnsi="Times New Roman" w:cs="Times New Roman"/>
      <w:kern w:val="0"/>
      <w:sz w:val="24"/>
      <w:szCs w:val="24"/>
    </w:rPr>
  </w:style>
  <w:style w:type="character" w:customStyle="1" w:styleId="12">
    <w:name w:val="批注框文本 字符"/>
    <w:basedOn w:val="8"/>
    <w:link w:val="3"/>
    <w:semiHidden/>
    <w:qFormat/>
    <w:uiPriority w:val="99"/>
    <w:rPr>
      <w:rFonts w:ascii="Times New Roman" w:hAnsi="Times New Roman" w:cs="Times New Roman"/>
      <w:kern w:val="0"/>
      <w:sz w:val="18"/>
      <w:szCs w:val="18"/>
    </w:rPr>
  </w:style>
  <w:style w:type="paragraph" w:customStyle="1" w:styleId="13">
    <w:name w:val="监督正文"/>
    <w:basedOn w:val="1"/>
    <w:qFormat/>
    <w:uiPriority w:val="0"/>
    <w:pPr>
      <w:widowControl w:val="0"/>
      <w:spacing w:line="560" w:lineRule="exact"/>
      <w:ind w:firstLine="200" w:firstLineChars="200"/>
      <w:jc w:val="both"/>
    </w:pPr>
    <w:rPr>
      <w:rFonts w:ascii="仿宋_GB2312" w:hAnsi="仿宋" w:eastAsia="仿宋_GB2312"/>
      <w:kern w:val="2"/>
      <w:sz w:val="28"/>
      <w:szCs w:val="28"/>
    </w:rPr>
  </w:style>
  <w:style w:type="paragraph" w:customStyle="1" w:styleId="14">
    <w:name w:val="监督0级标题"/>
    <w:basedOn w:val="13"/>
    <w:qFormat/>
    <w:uiPriority w:val="0"/>
    <w:pPr>
      <w:ind w:firstLine="562"/>
      <w:jc w:val="center"/>
    </w:pPr>
    <w:rPr>
      <w:b/>
    </w:rPr>
  </w:style>
  <w:style w:type="paragraph" w:customStyle="1" w:styleId="15">
    <w:name w:val="监督12级标题"/>
    <w:basedOn w:val="1"/>
    <w:qFormat/>
    <w:uiPriority w:val="0"/>
    <w:pPr>
      <w:widowControl w:val="0"/>
      <w:spacing w:line="560" w:lineRule="exact"/>
      <w:jc w:val="both"/>
    </w:pPr>
    <w:rPr>
      <w:rFonts w:ascii="仿宋_GB2312" w:hAnsi="仿宋" w:eastAsia="仿宋_GB2312"/>
      <w:b/>
      <w:kern w:val="2"/>
      <w:sz w:val="28"/>
      <w:szCs w:val="28"/>
    </w:rPr>
  </w:style>
  <w:style w:type="paragraph" w:customStyle="1" w:styleId="16">
    <w:name w:val="监督表格"/>
    <w:basedOn w:val="1"/>
    <w:qFormat/>
    <w:uiPriority w:val="0"/>
    <w:pPr>
      <w:spacing w:line="280" w:lineRule="exact"/>
    </w:pPr>
    <w:rPr>
      <w:rFonts w:ascii="仿宋_GB2312" w:eastAsia="仿宋_GB2312"/>
    </w:rPr>
  </w:style>
  <w:style w:type="paragraph" w:customStyle="1" w:styleId="17">
    <w:name w:val="监督表头"/>
    <w:basedOn w:val="1"/>
    <w:qFormat/>
    <w:uiPriority w:val="0"/>
    <w:pPr>
      <w:widowControl w:val="0"/>
      <w:snapToGrid w:val="0"/>
      <w:spacing w:line="560" w:lineRule="exact"/>
      <w:jc w:val="center"/>
    </w:pPr>
    <w:rPr>
      <w:rFonts w:ascii="仿宋_GB2312" w:eastAsia="仿宋_GB2312" w:hAnsiTheme="minorEastAsia"/>
      <w:b/>
      <w:kern w:val="2"/>
      <w:sz w:val="28"/>
      <w:szCs w:val="28"/>
    </w:rPr>
  </w:style>
  <w:style w:type="paragraph" w:customStyle="1" w:styleId="18">
    <w:name w:val="监督题目"/>
    <w:basedOn w:val="1"/>
    <w:qFormat/>
    <w:uiPriority w:val="0"/>
    <w:pPr>
      <w:widowControl w:val="0"/>
      <w:spacing w:line="560" w:lineRule="exact"/>
      <w:ind w:right="-764" w:rightChars="-364"/>
      <w:jc w:val="center"/>
    </w:pPr>
    <w:rPr>
      <w:rFonts w:ascii="方正小标宋简体" w:hAnsi="宋体" w:eastAsia="方正小标宋简体"/>
      <w:kern w:val="2"/>
      <w:sz w:val="44"/>
      <w:szCs w:val="44"/>
    </w:rPr>
  </w:style>
  <w:style w:type="paragraph" w:customStyle="1" w:styleId="19">
    <w:name w:val="监督下标题"/>
    <w:basedOn w:val="1"/>
    <w:qFormat/>
    <w:uiPriority w:val="0"/>
    <w:pPr>
      <w:widowControl w:val="0"/>
      <w:snapToGrid w:val="0"/>
      <w:spacing w:line="560" w:lineRule="exact"/>
      <w:jc w:val="center"/>
    </w:pPr>
    <w:rPr>
      <w:rFonts w:ascii="黑体" w:hAnsi="黑体" w:eastAsia="黑体" w:cs="宋体"/>
      <w:b/>
      <w:bCs/>
      <w:color w:val="000000"/>
      <w:kern w:val="2"/>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148</Words>
  <Characters>844</Characters>
  <Lines>7</Lines>
  <Paragraphs>1</Paragraphs>
  <TotalTime>6</TotalTime>
  <ScaleCrop>false</ScaleCrop>
  <LinksUpToDate>false</LinksUpToDate>
  <CharactersWithSpaces>991</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2020-05-14T15:14:00Z</dcterms:created>
  <dc:creator>Anonymous</dc:creator>
  <cp:lastModifiedBy>greatwall</cp:lastModifiedBy>
  <dcterms:modified xsi:type="dcterms:W3CDTF">2022-04-26T16:57:25Z</dcterms:modified>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D1D1C806C8514331BBEE44FBEB94A917</vt:lpwstr>
  </property>
</Properties>
</file>