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ind w:right="-874"/>
        <w:jc w:val="both"/>
      </w:pPr>
    </w:p>
    <w:p>
      <w:pPr>
        <w:pStyle w:val="19"/>
        <w:ind w:right="-874"/>
        <w:rPr>
          <w:sz w:val="30"/>
          <w:szCs w:val="30"/>
        </w:rPr>
      </w:pPr>
      <w:bookmarkStart w:id="0" w:name="_GoBack"/>
      <w:r>
        <w:rPr>
          <w:rFonts w:hint="eastAsia"/>
          <w:color w:val="000000" w:themeColor="text1"/>
          <w:sz w:val="30"/>
          <w:szCs w:val="30"/>
          <w14:textFill>
            <w14:solidFill>
              <w14:schemeClr w14:val="tx1"/>
            </w14:solidFill>
          </w14:textFill>
        </w:rPr>
        <w:t>202</w:t>
      </w:r>
      <w:r>
        <w:rPr>
          <w:color w:val="000000" w:themeColor="text1"/>
          <w:sz w:val="30"/>
          <w:szCs w:val="30"/>
          <w14:textFill>
            <w14:solidFill>
              <w14:schemeClr w14:val="tx1"/>
            </w14:solidFill>
          </w14:textFill>
        </w:rPr>
        <w:t>2</w:t>
      </w:r>
      <w:r>
        <w:rPr>
          <w:rFonts w:hint="eastAsia"/>
          <w:color w:val="000000" w:themeColor="text1"/>
          <w:sz w:val="30"/>
          <w:szCs w:val="30"/>
          <w14:textFill>
            <w14:solidFill>
              <w14:schemeClr w14:val="tx1"/>
            </w14:solidFill>
          </w14:textFill>
        </w:rPr>
        <w:t>年鄂尔多斯市合成树脂内墙涂料</w:t>
      </w:r>
      <w:r>
        <w:rPr>
          <w:sz w:val="30"/>
          <w:szCs w:val="30"/>
        </w:rPr>
        <w:t>产品质量</w:t>
      </w:r>
    </w:p>
    <w:p>
      <w:pPr>
        <w:pStyle w:val="19"/>
        <w:ind w:right="-874"/>
        <w:rPr>
          <w:sz w:val="30"/>
          <w:szCs w:val="30"/>
        </w:rPr>
      </w:pPr>
      <w:r>
        <w:rPr>
          <w:sz w:val="30"/>
          <w:szCs w:val="30"/>
        </w:rPr>
        <w:t>监督抽查</w:t>
      </w:r>
      <w:r>
        <w:rPr>
          <w:rFonts w:hint="eastAsia"/>
          <w:sz w:val="30"/>
          <w:szCs w:val="30"/>
        </w:rPr>
        <w:t>实施细则</w:t>
      </w:r>
    </w:p>
    <w:bookmarkEnd w:id="0"/>
    <w:p>
      <w:pPr>
        <w:pStyle w:val="16"/>
      </w:pPr>
      <w:r>
        <w:rPr>
          <w:rFonts w:hint="eastAsia"/>
        </w:rPr>
        <w:t>1 抽样方法</w:t>
      </w:r>
    </w:p>
    <w:p>
      <w:pPr>
        <w:pStyle w:val="16"/>
        <w:ind w:firstLine="560" w:firstLineChars="200"/>
        <w:rPr>
          <w:b w:val="0"/>
          <w:bCs/>
        </w:rPr>
      </w:pPr>
      <w:r>
        <w:rPr>
          <w:rFonts w:hint="eastAsia"/>
          <w:b w:val="0"/>
          <w:bCs/>
        </w:rPr>
        <w:t>以随机抽样的方式在被抽样生产者、销售者的待销产品中抽取。</w:t>
      </w:r>
    </w:p>
    <w:p>
      <w:pPr>
        <w:pStyle w:val="16"/>
        <w:ind w:firstLine="560" w:firstLineChars="200"/>
        <w:rPr>
          <w:b w:val="0"/>
          <w:bCs/>
        </w:rPr>
      </w:pPr>
      <w:r>
        <w:rPr>
          <w:rFonts w:hint="eastAsia"/>
          <w:b w:val="0"/>
          <w:bCs/>
        </w:rPr>
        <w:t>随机数一般可使用随机数表等方法产生。</w:t>
      </w:r>
    </w:p>
    <w:p>
      <w:pPr>
        <w:ind w:firstLine="560" w:firstLineChars="200"/>
        <w:rPr>
          <w:rFonts w:ascii="宋体" w:hAnsi="宋体" w:cs="宋体"/>
          <w:color w:val="000000"/>
          <w:szCs w:val="21"/>
        </w:rPr>
      </w:pPr>
      <w:r>
        <w:rPr>
          <w:rFonts w:hint="eastAsia" w:ascii="仿宋_GB2312" w:hAnsi="仿宋" w:eastAsia="仿宋_GB2312"/>
          <w:bCs/>
          <w:kern w:val="2"/>
          <w:sz w:val="28"/>
          <w:szCs w:val="28"/>
        </w:rPr>
        <w:t>抽样量为3kg/桶的样品2份,一份为检验样品,一份为备用样品。当独立包装产品质量≤5kg时,应尽量整包装抽取,避免分装</w:t>
      </w:r>
      <w:r>
        <w:rPr>
          <w:rFonts w:hint="eastAsia"/>
        </w:rPr>
        <w:t>。</w:t>
      </w:r>
    </w:p>
    <w:p>
      <w:pPr>
        <w:pStyle w:val="16"/>
      </w:pPr>
      <w:r>
        <w:rPr>
          <w:rFonts w:hint="eastAsia"/>
        </w:rPr>
        <w:t>2 检验依据</w:t>
      </w:r>
    </w:p>
    <w:p>
      <w:pPr>
        <w:pStyle w:val="18"/>
      </w:pPr>
      <w:r>
        <w:rPr>
          <w:rFonts w:hint="eastAsia"/>
          <w:b w:val="0"/>
          <w:bCs/>
        </w:rPr>
        <w:t>表1 合成树脂内墙涂料</w:t>
      </w:r>
    </w:p>
    <w:tbl>
      <w:tblPr>
        <w:tblStyle w:val="7"/>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42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219" w:type="dxa"/>
            <w:vMerge w:val="restart"/>
            <w:shd w:val="clear" w:color="auto" w:fill="auto"/>
            <w:vAlign w:val="center"/>
          </w:tcPr>
          <w:p>
            <w:pPr>
              <w:pStyle w:val="17"/>
              <w:jc w:val="center"/>
            </w:pPr>
            <w:r>
              <w:rPr>
                <w:rFonts w:hint="eastAsia"/>
              </w:rPr>
              <w:t>序号</w:t>
            </w:r>
          </w:p>
        </w:tc>
        <w:tc>
          <w:tcPr>
            <w:tcW w:w="3420" w:type="dxa"/>
            <w:vMerge w:val="restart"/>
            <w:shd w:val="clear" w:color="auto" w:fill="auto"/>
            <w:vAlign w:val="center"/>
          </w:tcPr>
          <w:p>
            <w:pPr>
              <w:pStyle w:val="17"/>
              <w:jc w:val="center"/>
            </w:pPr>
            <w:r>
              <w:rPr>
                <w:rFonts w:hint="eastAsia"/>
              </w:rPr>
              <w:t>检验项目</w:t>
            </w:r>
          </w:p>
        </w:tc>
        <w:tc>
          <w:tcPr>
            <w:tcW w:w="3840" w:type="dxa"/>
            <w:vMerge w:val="restart"/>
            <w:shd w:val="clear" w:color="auto" w:fill="auto"/>
            <w:vAlign w:val="center"/>
          </w:tcPr>
          <w:p>
            <w:pPr>
              <w:pStyle w:val="17"/>
              <w:jc w:val="center"/>
            </w:pPr>
            <w:r>
              <w:rPr>
                <w:rFonts w:hint="eastAsia"/>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219" w:type="dxa"/>
            <w:vMerge w:val="continue"/>
            <w:shd w:val="clear" w:color="auto" w:fill="auto"/>
            <w:vAlign w:val="center"/>
          </w:tcPr>
          <w:p>
            <w:pPr>
              <w:pStyle w:val="17"/>
              <w:jc w:val="center"/>
            </w:pPr>
          </w:p>
        </w:tc>
        <w:tc>
          <w:tcPr>
            <w:tcW w:w="3420" w:type="dxa"/>
            <w:vMerge w:val="continue"/>
            <w:shd w:val="clear" w:color="auto" w:fill="auto"/>
            <w:vAlign w:val="center"/>
          </w:tcPr>
          <w:p>
            <w:pPr>
              <w:pStyle w:val="17"/>
              <w:jc w:val="center"/>
            </w:pPr>
          </w:p>
        </w:tc>
        <w:tc>
          <w:tcPr>
            <w:tcW w:w="3840" w:type="dxa"/>
            <w:vMerge w:val="continue"/>
            <w:shd w:val="clear" w:color="auto" w:fill="auto"/>
            <w:vAlign w:val="center"/>
          </w:tcPr>
          <w:p>
            <w:pPr>
              <w:pStyle w:val="17"/>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7"/>
              <w:jc w:val="center"/>
            </w:pPr>
            <w:r>
              <w:rPr>
                <w:rFonts w:hint="eastAsia"/>
              </w:rPr>
              <w:t>1</w:t>
            </w:r>
          </w:p>
        </w:tc>
        <w:tc>
          <w:tcPr>
            <w:tcW w:w="3420" w:type="dxa"/>
            <w:shd w:val="clear" w:color="auto" w:fill="auto"/>
            <w:vAlign w:val="center"/>
          </w:tcPr>
          <w:p>
            <w:pPr>
              <w:pStyle w:val="17"/>
              <w:jc w:val="center"/>
            </w:pPr>
            <w:r>
              <w:rPr>
                <w:rFonts w:hint="eastAsia"/>
              </w:rPr>
              <w:t>VOC含量</w:t>
            </w:r>
          </w:p>
        </w:tc>
        <w:tc>
          <w:tcPr>
            <w:tcW w:w="3840" w:type="dxa"/>
            <w:shd w:val="clear" w:color="auto" w:fill="auto"/>
            <w:vAlign w:val="center"/>
          </w:tcPr>
          <w:p>
            <w:pPr>
              <w:pStyle w:val="17"/>
              <w:jc w:val="center"/>
            </w:pPr>
            <w:r>
              <w:rPr>
                <w:rFonts w:hint="eastAsia"/>
              </w:rPr>
              <w:t>GB 18582</w:t>
            </w:r>
            <w: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19" w:type="dxa"/>
            <w:shd w:val="clear" w:color="auto" w:fill="auto"/>
            <w:vAlign w:val="center"/>
          </w:tcPr>
          <w:p>
            <w:pPr>
              <w:pStyle w:val="17"/>
              <w:jc w:val="center"/>
            </w:pPr>
            <w:r>
              <w:rPr>
                <w:rFonts w:hint="eastAsia"/>
              </w:rPr>
              <w:t>2</w:t>
            </w:r>
          </w:p>
        </w:tc>
        <w:tc>
          <w:tcPr>
            <w:tcW w:w="3420" w:type="dxa"/>
            <w:shd w:val="clear" w:color="auto" w:fill="auto"/>
            <w:vAlign w:val="center"/>
          </w:tcPr>
          <w:p>
            <w:pPr>
              <w:pStyle w:val="17"/>
              <w:jc w:val="center"/>
            </w:pPr>
            <w:r>
              <w:rPr>
                <w:rFonts w:hint="eastAsia"/>
              </w:rPr>
              <w:t>甲醛含量</w:t>
            </w:r>
          </w:p>
        </w:tc>
        <w:tc>
          <w:tcPr>
            <w:tcW w:w="3840" w:type="dxa"/>
            <w:shd w:val="clear" w:color="auto" w:fill="auto"/>
            <w:vAlign w:val="center"/>
          </w:tcPr>
          <w:p>
            <w:pPr>
              <w:pStyle w:val="17"/>
              <w:jc w:val="center"/>
            </w:pPr>
            <w:r>
              <w:rPr>
                <w:rFonts w:hint="eastAsia"/>
              </w:rPr>
              <w:t>GB 18582</w:t>
            </w:r>
            <w: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7"/>
              <w:jc w:val="center"/>
            </w:pPr>
            <w:r>
              <w:rPr>
                <w:rFonts w:hint="eastAsia"/>
              </w:rPr>
              <w:t>3</w:t>
            </w:r>
          </w:p>
        </w:tc>
        <w:tc>
          <w:tcPr>
            <w:tcW w:w="3420" w:type="dxa"/>
            <w:shd w:val="clear" w:color="auto" w:fill="auto"/>
            <w:vAlign w:val="center"/>
          </w:tcPr>
          <w:p>
            <w:pPr>
              <w:pStyle w:val="17"/>
              <w:jc w:val="center"/>
            </w:pPr>
            <w:r>
              <w:rPr>
                <w:rFonts w:hint="eastAsia"/>
              </w:rPr>
              <w:t>苯系物总和含量</w:t>
            </w:r>
          </w:p>
        </w:tc>
        <w:tc>
          <w:tcPr>
            <w:tcW w:w="3840" w:type="dxa"/>
            <w:shd w:val="clear" w:color="auto" w:fill="auto"/>
            <w:vAlign w:val="center"/>
          </w:tcPr>
          <w:p>
            <w:pPr>
              <w:jc w:val="center"/>
              <w:rPr>
                <w:rFonts w:ascii="仿宋_GB2312" w:eastAsia="仿宋_GB2312"/>
              </w:rPr>
            </w:pPr>
            <w:r>
              <w:rPr>
                <w:rFonts w:hint="eastAsia" w:ascii="仿宋_GB2312" w:eastAsia="仿宋_GB2312"/>
              </w:rPr>
              <w:t>GB 18582</w:t>
            </w:r>
            <w:r>
              <w:rPr>
                <w:rFonts w:ascii="仿宋_GB2312" w:eastAsia="仿宋_GB2312"/>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219" w:type="dxa"/>
            <w:shd w:val="clear" w:color="auto" w:fill="auto"/>
            <w:vAlign w:val="center"/>
          </w:tcPr>
          <w:p>
            <w:pPr>
              <w:pStyle w:val="17"/>
              <w:jc w:val="center"/>
            </w:pPr>
            <w:r>
              <w:rPr>
                <w:rFonts w:hint="eastAsia"/>
              </w:rPr>
              <w:t>4</w:t>
            </w:r>
          </w:p>
        </w:tc>
        <w:tc>
          <w:tcPr>
            <w:tcW w:w="3420" w:type="dxa"/>
            <w:shd w:val="clear" w:color="auto" w:fill="auto"/>
            <w:vAlign w:val="center"/>
          </w:tcPr>
          <w:p>
            <w:pPr>
              <w:pStyle w:val="17"/>
              <w:jc w:val="center"/>
            </w:pPr>
            <w:r>
              <w:rPr>
                <w:rFonts w:hint="eastAsia"/>
              </w:rPr>
              <w:t>低温稳定性</w:t>
            </w:r>
          </w:p>
        </w:tc>
        <w:tc>
          <w:tcPr>
            <w:tcW w:w="3840" w:type="dxa"/>
            <w:shd w:val="clear" w:color="auto" w:fill="auto"/>
            <w:vAlign w:val="center"/>
          </w:tcPr>
          <w:p>
            <w:pPr>
              <w:jc w:val="center"/>
            </w:pPr>
            <w:r>
              <w:rPr>
                <w:rFonts w:hint="eastAsia" w:ascii="仿宋_GB2312" w:eastAsia="仿宋_GB2312"/>
              </w:rPr>
              <w:t>GB/T 9268-2008中A法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7"/>
              <w:jc w:val="center"/>
            </w:pPr>
            <w:r>
              <w:rPr>
                <w:rFonts w:hint="eastAsia"/>
              </w:rPr>
              <w:t>5</w:t>
            </w:r>
          </w:p>
        </w:tc>
        <w:tc>
          <w:tcPr>
            <w:tcW w:w="3420" w:type="dxa"/>
            <w:shd w:val="clear" w:color="auto" w:fill="auto"/>
            <w:vAlign w:val="center"/>
          </w:tcPr>
          <w:p>
            <w:pPr>
              <w:pStyle w:val="17"/>
              <w:jc w:val="center"/>
            </w:pPr>
            <w:r>
              <w:rPr>
                <w:rFonts w:hint="eastAsia"/>
              </w:rPr>
              <w:t>施工性</w:t>
            </w:r>
          </w:p>
        </w:tc>
        <w:tc>
          <w:tcPr>
            <w:tcW w:w="3840" w:type="dxa"/>
            <w:shd w:val="clear" w:color="auto" w:fill="auto"/>
            <w:vAlign w:val="center"/>
          </w:tcPr>
          <w:p>
            <w:pPr>
              <w:jc w:val="center"/>
            </w:pPr>
            <w:r>
              <w:rPr>
                <w:rFonts w:hint="eastAsia" w:ascii="仿宋_GB2312" w:eastAsia="仿宋_GB2312"/>
              </w:rPr>
              <w:t>GB/T 9756</w:t>
            </w:r>
            <w:r>
              <w:rPr>
                <w:rFonts w:ascii="仿宋_GB2312" w:eastAsia="仿宋_GB2312"/>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7"/>
              <w:jc w:val="center"/>
            </w:pPr>
            <w:r>
              <w:rPr>
                <w:rFonts w:hint="eastAsia"/>
              </w:rPr>
              <w:t>6</w:t>
            </w:r>
          </w:p>
        </w:tc>
        <w:tc>
          <w:tcPr>
            <w:tcW w:w="3420" w:type="dxa"/>
            <w:shd w:val="clear" w:color="auto" w:fill="auto"/>
            <w:vAlign w:val="center"/>
          </w:tcPr>
          <w:p>
            <w:pPr>
              <w:pStyle w:val="17"/>
              <w:jc w:val="center"/>
            </w:pPr>
            <w:r>
              <w:rPr>
                <w:rFonts w:hint="eastAsia"/>
              </w:rPr>
              <w:t>涂膜外观</w:t>
            </w:r>
          </w:p>
        </w:tc>
        <w:tc>
          <w:tcPr>
            <w:tcW w:w="3840" w:type="dxa"/>
            <w:shd w:val="clear" w:color="auto" w:fill="auto"/>
            <w:vAlign w:val="center"/>
          </w:tcPr>
          <w:p>
            <w:pPr>
              <w:jc w:val="center"/>
            </w:pPr>
            <w:r>
              <w:rPr>
                <w:rFonts w:hint="eastAsia" w:ascii="仿宋_GB2312" w:eastAsia="仿宋_GB2312"/>
              </w:rPr>
              <w:t>GB/T 9756</w:t>
            </w:r>
            <w:r>
              <w:rPr>
                <w:rFonts w:ascii="仿宋_GB2312" w:eastAsia="仿宋_GB2312"/>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7"/>
              <w:jc w:val="center"/>
            </w:pPr>
            <w:r>
              <w:rPr>
                <w:rFonts w:hint="eastAsia"/>
              </w:rPr>
              <w:t>7</w:t>
            </w:r>
          </w:p>
        </w:tc>
        <w:tc>
          <w:tcPr>
            <w:tcW w:w="3420" w:type="dxa"/>
            <w:shd w:val="clear" w:color="auto" w:fill="auto"/>
            <w:vAlign w:val="center"/>
          </w:tcPr>
          <w:p>
            <w:pPr>
              <w:pStyle w:val="17"/>
              <w:jc w:val="center"/>
            </w:pPr>
            <w:r>
              <w:rPr>
                <w:rFonts w:hint="eastAsia"/>
              </w:rPr>
              <w:t>耐洗刷性</w:t>
            </w:r>
          </w:p>
        </w:tc>
        <w:tc>
          <w:tcPr>
            <w:tcW w:w="3840" w:type="dxa"/>
            <w:shd w:val="clear" w:color="auto" w:fill="auto"/>
            <w:vAlign w:val="center"/>
          </w:tcPr>
          <w:p>
            <w:pPr>
              <w:jc w:val="center"/>
            </w:pPr>
            <w:r>
              <w:rPr>
                <w:rFonts w:hint="eastAsia" w:ascii="仿宋_GB2312" w:eastAsia="仿宋_GB2312"/>
              </w:rPr>
              <w:t>GB/T 9266</w:t>
            </w:r>
            <w:r>
              <w:rPr>
                <w:rFonts w:ascii="仿宋_GB2312" w:eastAsia="仿宋_GB2312"/>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7"/>
              <w:jc w:val="center"/>
            </w:pPr>
            <w:r>
              <w:rPr>
                <w:rFonts w:hint="eastAsia"/>
              </w:rPr>
              <w:t>8</w:t>
            </w:r>
          </w:p>
        </w:tc>
        <w:tc>
          <w:tcPr>
            <w:tcW w:w="3420" w:type="dxa"/>
            <w:shd w:val="clear" w:color="auto" w:fill="auto"/>
            <w:vAlign w:val="center"/>
          </w:tcPr>
          <w:p>
            <w:pPr>
              <w:pStyle w:val="17"/>
              <w:jc w:val="center"/>
            </w:pPr>
            <w:r>
              <w:rPr>
                <w:rFonts w:hint="eastAsia"/>
              </w:rPr>
              <w:t>耐碱性</w:t>
            </w:r>
          </w:p>
        </w:tc>
        <w:tc>
          <w:tcPr>
            <w:tcW w:w="3840" w:type="dxa"/>
            <w:shd w:val="clear" w:color="auto" w:fill="auto"/>
            <w:vAlign w:val="center"/>
          </w:tcPr>
          <w:p>
            <w:pPr>
              <w:jc w:val="center"/>
            </w:pPr>
            <w:r>
              <w:rPr>
                <w:rFonts w:hint="eastAsia" w:ascii="仿宋_GB2312" w:eastAsia="仿宋_GB2312"/>
              </w:rPr>
              <w:t>GB/T 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7"/>
              <w:jc w:val="center"/>
            </w:pPr>
            <w:r>
              <w:rPr>
                <w:rFonts w:hint="eastAsia"/>
              </w:rPr>
              <w:t>9</w:t>
            </w:r>
          </w:p>
        </w:tc>
        <w:tc>
          <w:tcPr>
            <w:tcW w:w="3420" w:type="dxa"/>
            <w:shd w:val="clear" w:color="auto" w:fill="auto"/>
            <w:vAlign w:val="center"/>
          </w:tcPr>
          <w:p>
            <w:pPr>
              <w:pStyle w:val="17"/>
              <w:jc w:val="center"/>
            </w:pPr>
            <w:r>
              <w:rPr>
                <w:rFonts w:hint="eastAsia" w:ascii="宋体" w:hAnsi="宋体" w:cs="宋体"/>
                <w:color w:val="000000"/>
                <w:szCs w:val="21"/>
              </w:rPr>
              <w:t>低温成膜性</w:t>
            </w:r>
          </w:p>
        </w:tc>
        <w:tc>
          <w:tcPr>
            <w:tcW w:w="3840" w:type="dxa"/>
            <w:shd w:val="clear" w:color="auto" w:fill="auto"/>
            <w:vAlign w:val="center"/>
          </w:tcPr>
          <w:p>
            <w:pPr>
              <w:jc w:val="center"/>
              <w:rPr>
                <w:rFonts w:ascii="仿宋_GB2312" w:eastAsia="仿宋_GB2312"/>
              </w:rPr>
            </w:pPr>
            <w:r>
              <w:rPr>
                <w:rFonts w:hint="eastAsia" w:ascii="仿宋_GB2312" w:eastAsia="仿宋_GB2312"/>
              </w:rPr>
              <w:t>GB/T 9756</w:t>
            </w:r>
            <w:r>
              <w:rPr>
                <w:rFonts w:ascii="仿宋_GB2312" w:eastAsia="仿宋_GB2312"/>
              </w:rPr>
              <w:t>-2018</w:t>
            </w:r>
          </w:p>
        </w:tc>
      </w:tr>
    </w:tbl>
    <w:p>
      <w:pPr>
        <w:pStyle w:val="16"/>
        <w:ind w:firstLine="560" w:firstLineChars="200"/>
        <w:rPr>
          <w:b w:val="0"/>
          <w:bCs/>
        </w:rPr>
      </w:pPr>
      <w:r>
        <w:rPr>
          <w:rFonts w:hint="eastAsia"/>
          <w:b w:val="0"/>
          <w:bCs/>
        </w:rPr>
        <w:t>执行企业标准、团体标准、地方标准的产品，检验项目参照上述内容执行。</w:t>
      </w:r>
    </w:p>
    <w:p>
      <w:pPr>
        <w:pStyle w:val="16"/>
        <w:ind w:firstLine="560" w:firstLineChars="200"/>
      </w:pPr>
      <w:r>
        <w:rPr>
          <w:rFonts w:hint="eastAsia"/>
          <w:b w:val="0"/>
          <w:bCs/>
        </w:rPr>
        <w:t>凡是注日期的文件，其随后所有的修改单（不包括勘误的内容）或修订版不适用于本细则。凡是不注日期的文件，其最新版本适用于本细则。</w:t>
      </w:r>
    </w:p>
    <w:p>
      <w:pPr>
        <w:pStyle w:val="16"/>
        <w:rPr>
          <w:b w:val="0"/>
          <w:bCs/>
        </w:rPr>
      </w:pPr>
      <w:r>
        <w:rPr>
          <w:rFonts w:hint="eastAsia"/>
        </w:rPr>
        <w:t>3 判定规则</w:t>
      </w:r>
    </w:p>
    <w:p>
      <w:pPr>
        <w:pStyle w:val="16"/>
        <w:ind w:firstLine="560" w:firstLineChars="200"/>
      </w:pPr>
      <w:r>
        <w:rPr>
          <w:rFonts w:hint="eastAsia"/>
          <w:b w:val="0"/>
          <w:bCs/>
        </w:rPr>
        <w:t>3.1依据标准</w:t>
      </w:r>
    </w:p>
    <w:p>
      <w:pPr>
        <w:pStyle w:val="14"/>
        <w:ind w:firstLine="560"/>
      </w:pPr>
      <w:r>
        <w:rPr>
          <w:rFonts w:hint="eastAsia"/>
          <w:lang w:val="de-DE"/>
        </w:rPr>
        <w:t>GB 18</w:t>
      </w:r>
      <w:r>
        <w:rPr>
          <w:rFonts w:hint="eastAsia"/>
        </w:rPr>
        <w:t>582-2020建筑用墙面涂料中有害物质限量</w:t>
      </w:r>
    </w:p>
    <w:p>
      <w:pPr>
        <w:pStyle w:val="14"/>
        <w:ind w:firstLine="560"/>
      </w:pPr>
      <w:r>
        <w:rPr>
          <w:rFonts w:hint="eastAsia"/>
          <w:lang w:val="de-DE"/>
        </w:rPr>
        <w:t>GB</w:t>
      </w:r>
      <w:r>
        <w:rPr>
          <w:rFonts w:hint="eastAsia"/>
        </w:rPr>
        <w:t>/T</w:t>
      </w:r>
      <w:r>
        <w:rPr>
          <w:rFonts w:hint="eastAsia"/>
          <w:lang w:val="de-DE"/>
        </w:rPr>
        <w:t xml:space="preserve"> </w:t>
      </w:r>
      <w:r>
        <w:rPr>
          <w:rFonts w:hint="eastAsia"/>
        </w:rPr>
        <w:t>9756-2018 合成树脂乳液内墙涂料</w:t>
      </w:r>
    </w:p>
    <w:p>
      <w:pPr>
        <w:pStyle w:val="14"/>
        <w:ind w:firstLine="560"/>
      </w:pPr>
      <w:r>
        <w:t>GB/T</w:t>
      </w:r>
      <w:r>
        <w:rPr>
          <w:rFonts w:hint="eastAsia"/>
        </w:rPr>
        <w:t xml:space="preserve"> </w:t>
      </w:r>
      <w:r>
        <w:t>9265-2009建筑涂料涂层耐碱性的测定</w:t>
      </w:r>
    </w:p>
    <w:p>
      <w:pPr>
        <w:pStyle w:val="14"/>
        <w:ind w:firstLine="560"/>
      </w:pPr>
      <w:r>
        <w:t>GB/T</w:t>
      </w:r>
      <w:r>
        <w:rPr>
          <w:rFonts w:hint="eastAsia"/>
        </w:rPr>
        <w:t xml:space="preserve"> </w:t>
      </w:r>
      <w:r>
        <w:t>9268-2008乳胶漆耐冻融性的测定</w:t>
      </w:r>
    </w:p>
    <w:p>
      <w:pPr>
        <w:pStyle w:val="14"/>
        <w:ind w:firstLine="560"/>
        <w:rPr>
          <w:rFonts w:hint="eastAsia"/>
        </w:rPr>
      </w:pPr>
      <w:r>
        <w:t xml:space="preserve">GB/T 9266-2009 </w:t>
      </w:r>
      <w:r>
        <w:rPr>
          <w:rFonts w:hint="eastAsia"/>
        </w:rPr>
        <w:t>建筑涂料 涂层耐洗刷性的测定</w:t>
      </w:r>
    </w:p>
    <w:p>
      <w:pPr>
        <w:pStyle w:val="14"/>
        <w:ind w:firstLine="556"/>
        <w:rPr>
          <w:spacing w:val="-1"/>
        </w:rPr>
      </w:pPr>
      <w:r>
        <w:rPr>
          <w:rFonts w:hint="eastAsia"/>
          <w:spacing w:val="-1"/>
        </w:rPr>
        <w:t>现行有效的企业标准、团体标准、地方标准及产品明示质量要求</w:t>
      </w:r>
    </w:p>
    <w:p>
      <w:pPr>
        <w:pStyle w:val="14"/>
        <w:ind w:firstLine="560"/>
      </w:pPr>
      <w:r>
        <w:rPr>
          <w:rFonts w:hint="eastAsia"/>
          <w:bCs/>
        </w:rPr>
        <w:t>3.2判定原则</w:t>
      </w:r>
    </w:p>
    <w:p>
      <w:pPr>
        <w:pStyle w:val="14"/>
        <w:ind w:firstLine="560"/>
      </w:pPr>
      <w:r>
        <w:rPr>
          <w:rFonts w:hint="eastAsia"/>
          <w:bCs/>
        </w:rPr>
        <w:t>经检验，检验项目全部合格，判定为被抽查产品所检项目未发现不合格；检验项目中任一项或一项以上不合格，判定为被抽查产品不合格。</w:t>
      </w:r>
    </w:p>
    <w:p>
      <w:pPr>
        <w:pStyle w:val="14"/>
        <w:ind w:firstLine="560"/>
      </w:pPr>
      <w:r>
        <w:rPr>
          <w:rFonts w:hint="eastAsia"/>
        </w:rPr>
        <w:t>若被检产品明示的质量要求高于本细则中检验项目依据的标准要求时，应按被检产品明示的质量要求判定。</w:t>
      </w:r>
    </w:p>
    <w:p>
      <w:pPr>
        <w:pStyle w:val="14"/>
        <w:ind w:firstLine="560"/>
      </w:pPr>
      <w:r>
        <w:rPr>
          <w:rFonts w:hint="eastAsia"/>
        </w:rPr>
        <w:t>若被检产品明示的质量要求低于本细则中检验项目依据的强制性标准要求时，应按照强制性标准要求判定。</w:t>
      </w:r>
    </w:p>
    <w:p>
      <w:pPr>
        <w:pStyle w:val="14"/>
        <w:ind w:firstLine="560"/>
      </w:pPr>
      <w:r>
        <w:rPr>
          <w:rFonts w:hint="eastAsia"/>
        </w:rPr>
        <w:t>若被检产品明示的质量要求低于或包含本细则中检验项目依据的推荐性标准要求时，应以被检产品明示的质量要求判定。</w:t>
      </w:r>
    </w:p>
    <w:p>
      <w:pPr>
        <w:pStyle w:val="14"/>
        <w:ind w:firstLine="560"/>
      </w:pPr>
      <w:r>
        <w:rPr>
          <w:rFonts w:hint="eastAsia"/>
        </w:rPr>
        <w:t>若被检产品明示的质量要求缺少本细则中检验项目依据的强制性标准要求时，应按照强制性标准要求判定。</w:t>
      </w:r>
    </w:p>
    <w:p>
      <w:pPr>
        <w:pStyle w:val="14"/>
        <w:ind w:firstLine="560"/>
      </w:pPr>
      <w:r>
        <w:rPr>
          <w:rFonts w:hint="eastAsia"/>
          <w:bCs/>
        </w:rPr>
        <w:t>若被检产品明示的质量要求缺少本细则中检验项目依据的推荐性标准要求时，该项目不参与判定，但应在检验报告备注中进行说明。</w:t>
      </w:r>
    </w:p>
    <w:sectPr>
      <w:pgSz w:w="11906" w:h="16838"/>
      <w:pgMar w:top="1304" w:right="1418" w:bottom="1304"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617"/>
    <w:rsid w:val="00011B1E"/>
    <w:rsid w:val="00042460"/>
    <w:rsid w:val="0006525A"/>
    <w:rsid w:val="000B4312"/>
    <w:rsid w:val="000D3C1F"/>
    <w:rsid w:val="001175F7"/>
    <w:rsid w:val="001669D9"/>
    <w:rsid w:val="00171928"/>
    <w:rsid w:val="00194AAE"/>
    <w:rsid w:val="001B3FFF"/>
    <w:rsid w:val="001D5C49"/>
    <w:rsid w:val="002332A7"/>
    <w:rsid w:val="00237F81"/>
    <w:rsid w:val="0029011D"/>
    <w:rsid w:val="002909E2"/>
    <w:rsid w:val="002B6693"/>
    <w:rsid w:val="00303604"/>
    <w:rsid w:val="00340604"/>
    <w:rsid w:val="00387AD2"/>
    <w:rsid w:val="003C53CB"/>
    <w:rsid w:val="003D3217"/>
    <w:rsid w:val="00407B72"/>
    <w:rsid w:val="00437617"/>
    <w:rsid w:val="004D6675"/>
    <w:rsid w:val="00500AD7"/>
    <w:rsid w:val="005650CE"/>
    <w:rsid w:val="00592615"/>
    <w:rsid w:val="005F151D"/>
    <w:rsid w:val="00602EE8"/>
    <w:rsid w:val="00616A72"/>
    <w:rsid w:val="006C48D8"/>
    <w:rsid w:val="006E572F"/>
    <w:rsid w:val="006F5D5A"/>
    <w:rsid w:val="00700718"/>
    <w:rsid w:val="00722EED"/>
    <w:rsid w:val="007634AE"/>
    <w:rsid w:val="00773463"/>
    <w:rsid w:val="00780D3F"/>
    <w:rsid w:val="007A6A71"/>
    <w:rsid w:val="007B373B"/>
    <w:rsid w:val="007E3620"/>
    <w:rsid w:val="007F0C03"/>
    <w:rsid w:val="00814694"/>
    <w:rsid w:val="00825254"/>
    <w:rsid w:val="008475D9"/>
    <w:rsid w:val="00861FD0"/>
    <w:rsid w:val="009164FB"/>
    <w:rsid w:val="00920038"/>
    <w:rsid w:val="00924261"/>
    <w:rsid w:val="00970F12"/>
    <w:rsid w:val="009821A1"/>
    <w:rsid w:val="00992296"/>
    <w:rsid w:val="00A339CC"/>
    <w:rsid w:val="00A75C44"/>
    <w:rsid w:val="00A8533F"/>
    <w:rsid w:val="00A92A16"/>
    <w:rsid w:val="00AC48C3"/>
    <w:rsid w:val="00BC0E27"/>
    <w:rsid w:val="00BC545D"/>
    <w:rsid w:val="00BF77CA"/>
    <w:rsid w:val="00C3423C"/>
    <w:rsid w:val="00D031E9"/>
    <w:rsid w:val="00D12DD2"/>
    <w:rsid w:val="00D13D0D"/>
    <w:rsid w:val="00D262D0"/>
    <w:rsid w:val="00D443A7"/>
    <w:rsid w:val="00D52566"/>
    <w:rsid w:val="00D57BF1"/>
    <w:rsid w:val="00DA137F"/>
    <w:rsid w:val="00DA2544"/>
    <w:rsid w:val="00DC4AF0"/>
    <w:rsid w:val="00E22FBC"/>
    <w:rsid w:val="00E306E7"/>
    <w:rsid w:val="00E5645F"/>
    <w:rsid w:val="00EA1AB7"/>
    <w:rsid w:val="00EA6109"/>
    <w:rsid w:val="00EC71EC"/>
    <w:rsid w:val="00F707BB"/>
    <w:rsid w:val="00F963C4"/>
    <w:rsid w:val="00FA389D"/>
    <w:rsid w:val="00FC0616"/>
    <w:rsid w:val="00FC0C03"/>
    <w:rsid w:val="02E24B01"/>
    <w:rsid w:val="041143BA"/>
    <w:rsid w:val="12DB6025"/>
    <w:rsid w:val="136D40F0"/>
    <w:rsid w:val="162055D1"/>
    <w:rsid w:val="36E707D1"/>
    <w:rsid w:val="51A83450"/>
    <w:rsid w:val="62764516"/>
    <w:rsid w:val="628D12A2"/>
    <w:rsid w:val="73F71365"/>
    <w:rsid w:val="7C6C3EE0"/>
    <w:rsid w:val="7FDE124B"/>
    <w:rsid w:val="BA16F8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99"/>
    <w:pPr>
      <w:spacing w:after="200" w:line="360" w:lineRule="auto"/>
      <w:ind w:left="720"/>
      <w:contextualSpacing/>
    </w:pPr>
    <w:rPr>
      <w:sz w:val="22"/>
    </w:rPr>
  </w:style>
  <w:style w:type="paragraph" w:styleId="3">
    <w:name w:val="Date"/>
    <w:basedOn w:val="1"/>
    <w:next w:val="1"/>
    <w:link w:val="12"/>
    <w:semiHidden/>
    <w:unhideWhenUsed/>
    <w:qFormat/>
    <w:uiPriority w:val="99"/>
    <w:pPr>
      <w:ind w:left="100" w:leftChars="2500"/>
    </w:pPr>
  </w:style>
  <w:style w:type="paragraph" w:styleId="4">
    <w:name w:val="Balloon Text"/>
    <w:basedOn w:val="1"/>
    <w:link w:val="13"/>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日期 字符"/>
    <w:basedOn w:val="9"/>
    <w:link w:val="3"/>
    <w:semiHidden/>
    <w:qFormat/>
    <w:uiPriority w:val="99"/>
    <w:rPr>
      <w:rFonts w:ascii="Times New Roman" w:hAnsi="Times New Roman" w:cs="Times New Roman"/>
      <w:kern w:val="0"/>
      <w:sz w:val="24"/>
      <w:szCs w:val="24"/>
    </w:rPr>
  </w:style>
  <w:style w:type="character" w:customStyle="1" w:styleId="13">
    <w:name w:val="批注框文本 字符"/>
    <w:basedOn w:val="9"/>
    <w:link w:val="4"/>
    <w:semiHidden/>
    <w:qFormat/>
    <w:uiPriority w:val="99"/>
    <w:rPr>
      <w:rFonts w:ascii="Times New Roman" w:hAnsi="Times New Roman" w:cs="Times New Roman"/>
      <w:kern w:val="0"/>
      <w:sz w:val="18"/>
      <w:szCs w:val="18"/>
    </w:rPr>
  </w:style>
  <w:style w:type="paragraph" w:customStyle="1" w:styleId="14">
    <w:name w:val="监督正文"/>
    <w:basedOn w:val="1"/>
    <w:qFormat/>
    <w:uiPriority w:val="0"/>
    <w:pPr>
      <w:widowControl w:val="0"/>
      <w:spacing w:line="560" w:lineRule="exact"/>
      <w:ind w:firstLine="200" w:firstLineChars="200"/>
      <w:jc w:val="both"/>
    </w:pPr>
    <w:rPr>
      <w:rFonts w:ascii="仿宋_GB2312" w:hAnsi="仿宋" w:eastAsia="仿宋_GB2312"/>
      <w:kern w:val="2"/>
      <w:sz w:val="28"/>
      <w:szCs w:val="28"/>
    </w:rPr>
  </w:style>
  <w:style w:type="paragraph" w:customStyle="1" w:styleId="15">
    <w:name w:val="监督0级标题"/>
    <w:basedOn w:val="14"/>
    <w:qFormat/>
    <w:uiPriority w:val="0"/>
    <w:pPr>
      <w:ind w:firstLine="562"/>
      <w:jc w:val="center"/>
    </w:pPr>
    <w:rPr>
      <w:b/>
    </w:rPr>
  </w:style>
  <w:style w:type="paragraph" w:customStyle="1" w:styleId="16">
    <w:name w:val="监督12级标题"/>
    <w:basedOn w:val="1"/>
    <w:qFormat/>
    <w:uiPriority w:val="0"/>
    <w:pPr>
      <w:widowControl w:val="0"/>
      <w:spacing w:line="560" w:lineRule="exact"/>
      <w:jc w:val="both"/>
    </w:pPr>
    <w:rPr>
      <w:rFonts w:ascii="仿宋_GB2312" w:hAnsi="仿宋" w:eastAsia="仿宋_GB2312"/>
      <w:b/>
      <w:kern w:val="2"/>
      <w:sz w:val="28"/>
      <w:szCs w:val="28"/>
    </w:rPr>
  </w:style>
  <w:style w:type="paragraph" w:customStyle="1" w:styleId="17">
    <w:name w:val="监督表格"/>
    <w:basedOn w:val="1"/>
    <w:qFormat/>
    <w:uiPriority w:val="0"/>
    <w:pPr>
      <w:spacing w:line="280" w:lineRule="exact"/>
    </w:pPr>
    <w:rPr>
      <w:rFonts w:ascii="仿宋_GB2312" w:eastAsia="仿宋_GB2312"/>
    </w:rPr>
  </w:style>
  <w:style w:type="paragraph" w:customStyle="1" w:styleId="18">
    <w:name w:val="监督表头"/>
    <w:basedOn w:val="1"/>
    <w:qFormat/>
    <w:uiPriority w:val="0"/>
    <w:pPr>
      <w:widowControl w:val="0"/>
      <w:snapToGrid w:val="0"/>
      <w:spacing w:line="560" w:lineRule="exact"/>
      <w:jc w:val="center"/>
    </w:pPr>
    <w:rPr>
      <w:rFonts w:ascii="仿宋_GB2312" w:eastAsia="仿宋_GB2312" w:hAnsiTheme="minorEastAsia"/>
      <w:b/>
      <w:kern w:val="2"/>
      <w:sz w:val="28"/>
      <w:szCs w:val="28"/>
    </w:rPr>
  </w:style>
  <w:style w:type="paragraph" w:customStyle="1" w:styleId="19">
    <w:name w:val="监督题目"/>
    <w:basedOn w:val="1"/>
    <w:qFormat/>
    <w:uiPriority w:val="0"/>
    <w:pPr>
      <w:widowControl w:val="0"/>
      <w:spacing w:line="560" w:lineRule="exact"/>
      <w:ind w:right="-764" w:rightChars="-364"/>
      <w:jc w:val="center"/>
    </w:pPr>
    <w:rPr>
      <w:rFonts w:ascii="方正小标宋简体" w:hAnsi="宋体" w:eastAsia="方正小标宋简体"/>
      <w:kern w:val="2"/>
      <w:sz w:val="44"/>
      <w:szCs w:val="44"/>
    </w:rPr>
  </w:style>
  <w:style w:type="paragraph" w:customStyle="1" w:styleId="20">
    <w:name w:val="监督下标题"/>
    <w:basedOn w:val="1"/>
    <w:qFormat/>
    <w:uiPriority w:val="0"/>
    <w:pPr>
      <w:widowControl w:val="0"/>
      <w:snapToGrid w:val="0"/>
      <w:spacing w:line="560" w:lineRule="exact"/>
      <w:jc w:val="center"/>
    </w:pPr>
    <w:rPr>
      <w:rFonts w:ascii="黑体" w:hAnsi="黑体" w:eastAsia="黑体" w:cs="宋体"/>
      <w:b/>
      <w:bCs/>
      <w:color w:val="000000"/>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149</Words>
  <Characters>852</Characters>
  <Lines>7</Lines>
  <Paragraphs>1</Paragraphs>
  <TotalTime>3</TotalTime>
  <ScaleCrop>false</ScaleCrop>
  <LinksUpToDate>false</LinksUpToDate>
  <CharactersWithSpaces>1000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2020-05-14T15:14:00Z</dcterms:created>
  <dc:creator>Anonymous</dc:creator>
  <cp:lastModifiedBy>greatwall</cp:lastModifiedBy>
  <dcterms:modified xsi:type="dcterms:W3CDTF">2022-04-26T16:55:13Z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DA8D00BFA80F4C1A9248F91F61DD0DAC</vt:lpwstr>
  </property>
</Properties>
</file>