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rPr>
          <w:sz w:val="30"/>
          <w:szCs w:val="30"/>
        </w:rPr>
      </w:pPr>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年鄂尔多斯P</w:t>
      </w:r>
      <w:r>
        <w:rPr>
          <w:color w:val="000000" w:themeColor="text1"/>
          <w:sz w:val="30"/>
          <w:szCs w:val="30"/>
          <w14:textFill>
            <w14:solidFill>
              <w14:schemeClr w14:val="tx1"/>
            </w14:solidFill>
          </w14:textFill>
        </w:rPr>
        <w:t>P-R</w:t>
      </w:r>
      <w:r>
        <w:rPr>
          <w:rFonts w:hint="eastAsia"/>
          <w:color w:val="000000" w:themeColor="text1"/>
          <w:sz w:val="30"/>
          <w:szCs w:val="30"/>
          <w14:textFill>
            <w14:solidFill>
              <w14:schemeClr w14:val="tx1"/>
            </w14:solidFill>
          </w14:textFill>
        </w:rPr>
        <w:t>管材</w:t>
      </w:r>
      <w:r>
        <w:rPr>
          <w:sz w:val="30"/>
          <w:szCs w:val="30"/>
        </w:rPr>
        <w:t>产品质量</w:t>
      </w:r>
      <w:bookmarkStart w:id="0" w:name="_GoBack"/>
      <w:bookmarkEnd w:id="0"/>
      <w:r>
        <w:rPr>
          <w:sz w:val="30"/>
          <w:szCs w:val="30"/>
        </w:rPr>
        <w:t>监督抽查</w:t>
      </w:r>
      <w:r>
        <w:rPr>
          <w:rFonts w:hint="eastAsia"/>
          <w:sz w:val="30"/>
          <w:szCs w:val="30"/>
        </w:rPr>
        <w:t>实施细则</w:t>
      </w:r>
    </w:p>
    <w:p>
      <w:pPr>
        <w:pStyle w:val="15"/>
      </w:pPr>
      <w:r>
        <w:rPr>
          <w:rFonts w:hint="eastAsia"/>
        </w:rPr>
        <w:t>1 抽样方法</w:t>
      </w:r>
    </w:p>
    <w:p>
      <w:pPr>
        <w:pStyle w:val="13"/>
        <w:ind w:firstLine="560"/>
      </w:pPr>
      <w:r>
        <w:rPr>
          <w:rFonts w:hint="eastAsia"/>
        </w:rPr>
        <w:t>企业的成品库内或市场待销产品中随机抽取有产品质量检验合格证明或者以其他形式表明合格的、近期生产的产品。</w:t>
      </w:r>
    </w:p>
    <w:p>
      <w:pPr>
        <w:pStyle w:val="13"/>
        <w:ind w:firstLine="560"/>
      </w:pPr>
      <w:r>
        <w:rPr>
          <w:rFonts w:hint="eastAsia"/>
        </w:rPr>
        <w:t>根据GB/T</w:t>
      </w:r>
      <w:r>
        <w:t xml:space="preserve"> </w:t>
      </w:r>
      <w:r>
        <w:rPr>
          <w:rFonts w:hint="eastAsia"/>
        </w:rPr>
        <w:t>2828</w:t>
      </w:r>
      <w:r>
        <w:t>.</w:t>
      </w:r>
      <w:r>
        <w:rPr>
          <w:rFonts w:hint="eastAsia"/>
        </w:rPr>
        <w:t>4-2008规定,抽样基数为同一批、同一规格中不少于250根管材。卫生性能检测抽样和在流通领域抽样时,抽样基数须满足抽样数量。</w:t>
      </w:r>
    </w:p>
    <w:p>
      <w:pPr>
        <w:pStyle w:val="13"/>
        <w:ind w:firstLine="560"/>
      </w:pPr>
      <w:r>
        <w:rPr>
          <w:rFonts w:hint="eastAsia"/>
        </w:rPr>
        <w:t>同一批合格产品中抽取6根,每根截取4段,每段1m。每根中的2段作为检测样品2段作为备用样品。</w:t>
      </w:r>
    </w:p>
    <w:p>
      <w:pPr>
        <w:pStyle w:val="13"/>
        <w:ind w:firstLine="560"/>
      </w:pPr>
      <w:r>
        <w:rPr>
          <w:rFonts w:hint="eastAsia"/>
        </w:rPr>
        <w:t>增加下列样品用于卫生性能检测:管材d</w:t>
      </w:r>
      <w:r>
        <w:rPr>
          <w:vertAlign w:val="subscript"/>
        </w:rPr>
        <w:t>n</w:t>
      </w:r>
      <w:r>
        <w:rPr>
          <w:rFonts w:hint="eastAsia"/>
        </w:rPr>
        <w:t>≤25m的抽取5根,每根截取2段,每段1m</w:t>
      </w:r>
      <w:r>
        <w:t xml:space="preserve"> </w:t>
      </w:r>
      <w:r>
        <w:rPr>
          <w:rFonts w:hint="eastAsia"/>
        </w:rPr>
        <w:t>; d</w:t>
      </w:r>
      <w:r>
        <w:rPr>
          <w:vertAlign w:val="subscript"/>
        </w:rPr>
        <w:t>n</w:t>
      </w:r>
      <w:r>
        <w:rPr>
          <w:rFonts w:hint="eastAsia"/>
        </w:rPr>
        <w:t>＞25m的抽取5根,每根截取1段,每段1m;应将切割端修刮平整。管件d</w:t>
      </w:r>
      <w:r>
        <w:rPr>
          <w:vertAlign w:val="subscript"/>
        </w:rPr>
        <w:t>n</w:t>
      </w:r>
      <w:r>
        <w:rPr>
          <w:rFonts w:hint="eastAsia"/>
        </w:rPr>
        <w:t>＜50m的抽取5箱,每箱抽取10个;50m≤d</w:t>
      </w:r>
      <w:r>
        <w:rPr>
          <w:vertAlign w:val="subscript"/>
        </w:rPr>
        <w:t>n</w:t>
      </w:r>
      <w:r>
        <w:rPr>
          <w:rFonts w:hint="eastAsia"/>
        </w:rPr>
        <w:t>≤75m的抽取5箱,每箱抽取6个; d</w:t>
      </w:r>
      <w:r>
        <w:rPr>
          <w:vertAlign w:val="subscript"/>
        </w:rPr>
        <w:t>n</w:t>
      </w:r>
      <w:r>
        <w:rPr>
          <w:rFonts w:hint="eastAsia"/>
        </w:rPr>
        <w:t>＞75m的抽取5箱,每箱抽取3个。</w:t>
      </w:r>
    </w:p>
    <w:p>
      <w:pPr>
        <w:pStyle w:val="13"/>
        <w:ind w:firstLine="560"/>
        <w:rPr>
          <w:rFonts w:hint="eastAsia"/>
        </w:rPr>
      </w:pPr>
      <w:r>
        <w:rPr>
          <w:rFonts w:hint="eastAsia"/>
        </w:rPr>
        <w:t>流通领域抽样数量满足检验即可。</w:t>
      </w:r>
    </w:p>
    <w:p>
      <w:pPr>
        <w:pStyle w:val="15"/>
      </w:pPr>
      <w:r>
        <w:rPr>
          <w:rFonts w:hint="eastAsia"/>
        </w:rPr>
        <w:t>2 检验依据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4"/>
        <w:gridCol w:w="3632"/>
        <w:gridCol w:w="4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19" w:type="pct"/>
            <w:vMerge w:val="restart"/>
            <w:shd w:val="clear" w:color="auto" w:fill="auto"/>
            <w:vAlign w:val="center"/>
          </w:tcPr>
          <w:p>
            <w:pPr>
              <w:pStyle w:val="16"/>
              <w:jc w:val="center"/>
            </w:pPr>
            <w:r>
              <w:rPr>
                <w:rFonts w:hint="eastAsia"/>
              </w:rPr>
              <w:t>序号</w:t>
            </w:r>
          </w:p>
        </w:tc>
        <w:tc>
          <w:tcPr>
            <w:tcW w:w="2017" w:type="pct"/>
            <w:vMerge w:val="restart"/>
            <w:shd w:val="clear" w:color="auto" w:fill="auto"/>
            <w:vAlign w:val="center"/>
          </w:tcPr>
          <w:p>
            <w:pPr>
              <w:pStyle w:val="16"/>
              <w:jc w:val="center"/>
            </w:pPr>
            <w:r>
              <w:rPr>
                <w:rFonts w:hint="eastAsia"/>
              </w:rPr>
              <w:t>检验项目</w:t>
            </w:r>
          </w:p>
        </w:tc>
        <w:tc>
          <w:tcPr>
            <w:tcW w:w="2264" w:type="pct"/>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19" w:type="pct"/>
            <w:vMerge w:val="continue"/>
            <w:shd w:val="clear" w:color="auto" w:fill="auto"/>
            <w:vAlign w:val="center"/>
          </w:tcPr>
          <w:p>
            <w:pPr>
              <w:pStyle w:val="16"/>
              <w:jc w:val="center"/>
            </w:pPr>
          </w:p>
        </w:tc>
        <w:tc>
          <w:tcPr>
            <w:tcW w:w="2017" w:type="pct"/>
            <w:vMerge w:val="continue"/>
            <w:shd w:val="clear" w:color="auto" w:fill="auto"/>
            <w:vAlign w:val="center"/>
          </w:tcPr>
          <w:p>
            <w:pPr>
              <w:pStyle w:val="16"/>
              <w:jc w:val="center"/>
            </w:pPr>
          </w:p>
        </w:tc>
        <w:tc>
          <w:tcPr>
            <w:tcW w:w="2264" w:type="pct"/>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1</w:t>
            </w:r>
          </w:p>
        </w:tc>
        <w:tc>
          <w:tcPr>
            <w:tcW w:w="2017" w:type="pct"/>
            <w:shd w:val="clear" w:color="auto" w:fill="auto"/>
            <w:vAlign w:val="center"/>
          </w:tcPr>
          <w:p>
            <w:pPr>
              <w:pStyle w:val="16"/>
              <w:jc w:val="center"/>
            </w:pPr>
            <w:r>
              <w:rPr>
                <w:rFonts w:hint="eastAsia" w:ascii="宋体" w:hAnsi="宋体" w:cs="宋体"/>
                <w:color w:val="000000"/>
                <w:szCs w:val="21"/>
              </w:rPr>
              <w:t>外观</w:t>
            </w:r>
          </w:p>
        </w:tc>
        <w:tc>
          <w:tcPr>
            <w:tcW w:w="2264" w:type="pct"/>
            <w:shd w:val="clear" w:color="auto" w:fill="auto"/>
            <w:vAlign w:val="center"/>
          </w:tcPr>
          <w:p>
            <w:pPr>
              <w:pStyle w:val="16"/>
              <w:jc w:val="center"/>
            </w:pPr>
            <w:r>
              <w:rPr>
                <w:lang w:val="de-DE"/>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2</w:t>
            </w:r>
          </w:p>
        </w:tc>
        <w:tc>
          <w:tcPr>
            <w:tcW w:w="2017" w:type="pct"/>
            <w:shd w:val="clear" w:color="auto" w:fill="auto"/>
            <w:vAlign w:val="center"/>
          </w:tcPr>
          <w:p>
            <w:pPr>
              <w:pStyle w:val="16"/>
              <w:jc w:val="center"/>
            </w:pPr>
            <w:r>
              <w:rPr>
                <w:rFonts w:hint="eastAsia" w:ascii="宋体" w:hAnsi="宋体" w:cs="宋体"/>
                <w:color w:val="000000"/>
                <w:szCs w:val="21"/>
              </w:rPr>
              <w:t>规格及尺寸</w:t>
            </w:r>
          </w:p>
        </w:tc>
        <w:tc>
          <w:tcPr>
            <w:tcW w:w="2264" w:type="pct"/>
            <w:shd w:val="clear" w:color="auto" w:fill="auto"/>
            <w:vAlign w:val="center"/>
          </w:tcPr>
          <w:p>
            <w:pPr>
              <w:pStyle w:val="16"/>
              <w:jc w:val="center"/>
            </w:pPr>
            <w:r>
              <w:rPr>
                <w:lang w:val="de-DE"/>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3</w:t>
            </w:r>
          </w:p>
        </w:tc>
        <w:tc>
          <w:tcPr>
            <w:tcW w:w="2017" w:type="pct"/>
            <w:shd w:val="clear" w:color="auto" w:fill="auto"/>
            <w:vAlign w:val="center"/>
          </w:tcPr>
          <w:p>
            <w:pPr>
              <w:pStyle w:val="16"/>
              <w:jc w:val="center"/>
            </w:pPr>
            <w:r>
              <w:rPr>
                <w:rFonts w:hint="eastAsia" w:ascii="宋体" w:hAnsi="宋体" w:cs="宋体"/>
                <w:color w:val="000000"/>
                <w:szCs w:val="21"/>
              </w:rPr>
              <w:t>静液压强度</w:t>
            </w:r>
          </w:p>
        </w:tc>
        <w:tc>
          <w:tcPr>
            <w:tcW w:w="2264" w:type="pct"/>
            <w:shd w:val="clear" w:color="auto" w:fill="auto"/>
            <w:vAlign w:val="center"/>
          </w:tcPr>
          <w:p>
            <w:pPr>
              <w:pStyle w:val="16"/>
              <w:jc w:val="center"/>
            </w:pPr>
            <w:r>
              <w:rPr>
                <w:lang w:val="de-DE"/>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4</w:t>
            </w:r>
          </w:p>
        </w:tc>
        <w:tc>
          <w:tcPr>
            <w:tcW w:w="2017" w:type="pct"/>
            <w:shd w:val="clear" w:color="auto" w:fill="auto"/>
            <w:vAlign w:val="center"/>
          </w:tcPr>
          <w:p>
            <w:pPr>
              <w:pStyle w:val="16"/>
              <w:jc w:val="center"/>
            </w:pPr>
            <w:r>
              <w:rPr>
                <w:rFonts w:hint="eastAsia" w:ascii="宋体" w:hAnsi="宋体" w:cs="宋体"/>
                <w:color w:val="000000"/>
                <w:szCs w:val="21"/>
              </w:rPr>
              <w:t>纵向回缩率</w:t>
            </w:r>
          </w:p>
        </w:tc>
        <w:tc>
          <w:tcPr>
            <w:tcW w:w="2264" w:type="pct"/>
            <w:shd w:val="clear" w:color="auto" w:fill="auto"/>
            <w:vAlign w:val="center"/>
          </w:tcPr>
          <w:p>
            <w:pPr>
              <w:pStyle w:val="16"/>
              <w:jc w:val="center"/>
            </w:pPr>
            <w:r>
              <w:rPr>
                <w:lang w:val="de-DE"/>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5</w:t>
            </w:r>
          </w:p>
        </w:tc>
        <w:tc>
          <w:tcPr>
            <w:tcW w:w="2017" w:type="pct"/>
            <w:shd w:val="clear" w:color="auto" w:fill="auto"/>
            <w:vAlign w:val="center"/>
          </w:tcPr>
          <w:p>
            <w:pPr>
              <w:pStyle w:val="16"/>
              <w:jc w:val="center"/>
            </w:pPr>
            <w:r>
              <w:rPr>
                <w:rFonts w:hint="eastAsia" w:ascii="宋体" w:hAnsi="宋体" w:cs="宋体"/>
                <w:color w:val="000000"/>
                <w:szCs w:val="21"/>
              </w:rPr>
              <w:t>高锰酸钾消耗量</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6</w:t>
            </w:r>
          </w:p>
        </w:tc>
        <w:tc>
          <w:tcPr>
            <w:tcW w:w="2017" w:type="pct"/>
            <w:shd w:val="clear" w:color="auto" w:fill="auto"/>
            <w:vAlign w:val="center"/>
          </w:tcPr>
          <w:p>
            <w:pPr>
              <w:pStyle w:val="16"/>
              <w:jc w:val="center"/>
            </w:pPr>
            <w:r>
              <w:rPr>
                <w:rFonts w:hint="eastAsia" w:ascii="宋体" w:hAnsi="宋体" w:cs="宋体"/>
                <w:color w:val="000000"/>
                <w:szCs w:val="21"/>
              </w:rPr>
              <w:t>pH</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7</w:t>
            </w:r>
          </w:p>
        </w:tc>
        <w:tc>
          <w:tcPr>
            <w:tcW w:w="2017" w:type="pct"/>
            <w:shd w:val="clear" w:color="auto" w:fill="auto"/>
            <w:vAlign w:val="center"/>
          </w:tcPr>
          <w:p>
            <w:pPr>
              <w:pStyle w:val="16"/>
              <w:jc w:val="center"/>
            </w:pPr>
            <w:r>
              <w:rPr>
                <w:rFonts w:hint="eastAsia"/>
              </w:rPr>
              <w:t>铁</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jc w:val="center"/>
            </w:pPr>
            <w:r>
              <w:rPr>
                <w:rFonts w:hint="eastAsia"/>
              </w:rPr>
              <w:t>8</w:t>
            </w:r>
          </w:p>
        </w:tc>
        <w:tc>
          <w:tcPr>
            <w:tcW w:w="2017" w:type="pct"/>
            <w:shd w:val="clear" w:color="auto" w:fill="auto"/>
            <w:vAlign w:val="center"/>
          </w:tcPr>
          <w:p>
            <w:pPr>
              <w:pStyle w:val="16"/>
              <w:jc w:val="center"/>
            </w:pPr>
            <w:r>
              <w:rPr>
                <w:rFonts w:hint="eastAsia"/>
              </w:rPr>
              <w:t>锰</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pPr>
            <w:r>
              <w:rPr>
                <w:rFonts w:hint="eastAsia"/>
              </w:rPr>
              <w:t>9</w:t>
            </w:r>
          </w:p>
        </w:tc>
        <w:tc>
          <w:tcPr>
            <w:tcW w:w="2017" w:type="pct"/>
            <w:shd w:val="clear" w:color="auto" w:fill="auto"/>
            <w:vAlign w:val="center"/>
          </w:tcPr>
          <w:p>
            <w:pPr>
              <w:pStyle w:val="16"/>
              <w:jc w:val="center"/>
            </w:pPr>
            <w:r>
              <w:rPr>
                <w:rFonts w:hint="eastAsia"/>
              </w:rPr>
              <w:t>铜</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pPr>
            <w:r>
              <w:rPr>
                <w:rFonts w:hint="eastAsia"/>
              </w:rPr>
              <w:t>10</w:t>
            </w:r>
          </w:p>
        </w:tc>
        <w:tc>
          <w:tcPr>
            <w:tcW w:w="2017" w:type="pct"/>
            <w:shd w:val="clear" w:color="auto" w:fill="auto"/>
            <w:vAlign w:val="center"/>
          </w:tcPr>
          <w:p>
            <w:pPr>
              <w:pStyle w:val="16"/>
              <w:jc w:val="center"/>
              <w:rPr>
                <w:rFonts w:ascii="宋体" w:hAnsi="宋体" w:cs="宋体"/>
                <w:color w:val="000000"/>
                <w:szCs w:val="21"/>
              </w:rPr>
            </w:pPr>
            <w:r>
              <w:rPr>
                <w:rFonts w:hint="eastAsia" w:ascii="宋体" w:hAnsi="宋体" w:cs="宋体"/>
                <w:color w:val="000000"/>
                <w:szCs w:val="21"/>
              </w:rPr>
              <w:t>锌</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pPr>
            <w:r>
              <w:rPr>
                <w:rFonts w:hint="eastAsia"/>
              </w:rPr>
              <w:t>11</w:t>
            </w:r>
          </w:p>
        </w:tc>
        <w:tc>
          <w:tcPr>
            <w:tcW w:w="2017" w:type="pct"/>
            <w:shd w:val="clear" w:color="auto" w:fill="auto"/>
            <w:vAlign w:val="center"/>
          </w:tcPr>
          <w:p>
            <w:pPr>
              <w:pStyle w:val="16"/>
              <w:jc w:val="center"/>
              <w:rPr>
                <w:rFonts w:ascii="宋体" w:hAnsi="宋体" w:cs="宋体"/>
                <w:color w:val="000000"/>
                <w:szCs w:val="21"/>
              </w:rPr>
            </w:pPr>
            <w:r>
              <w:rPr>
                <w:rFonts w:hint="eastAsia" w:ascii="宋体" w:hAnsi="宋体" w:cs="宋体"/>
                <w:color w:val="000000"/>
                <w:szCs w:val="21"/>
              </w:rPr>
              <w:t>砷</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pPr>
            <w:r>
              <w:rPr>
                <w:rFonts w:hint="eastAsia"/>
              </w:rPr>
              <w:t>12</w:t>
            </w:r>
          </w:p>
        </w:tc>
        <w:tc>
          <w:tcPr>
            <w:tcW w:w="2017" w:type="pct"/>
            <w:shd w:val="clear" w:color="auto" w:fill="auto"/>
            <w:vAlign w:val="center"/>
          </w:tcPr>
          <w:p>
            <w:pPr>
              <w:pStyle w:val="16"/>
              <w:jc w:val="center"/>
              <w:rPr>
                <w:rFonts w:ascii="宋体" w:hAnsi="宋体" w:cs="宋体"/>
                <w:color w:val="000000"/>
                <w:szCs w:val="21"/>
              </w:rPr>
            </w:pPr>
            <w:r>
              <w:rPr>
                <w:rFonts w:hint="eastAsia" w:ascii="宋体" w:hAnsi="宋体" w:cs="宋体"/>
                <w:color w:val="000000"/>
                <w:szCs w:val="21"/>
              </w:rPr>
              <w:t>汞</w:t>
            </w:r>
          </w:p>
        </w:tc>
        <w:tc>
          <w:tcPr>
            <w:tcW w:w="2264" w:type="pct"/>
            <w:shd w:val="clear" w:color="auto" w:fill="auto"/>
            <w:vAlign w:val="center"/>
          </w:tcPr>
          <w:p>
            <w:pPr>
              <w:pStyle w:val="16"/>
              <w:jc w:val="cente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rPr>
                <w:rFonts w:hint="eastAsia"/>
              </w:rPr>
            </w:pPr>
            <w:r>
              <w:rPr>
                <w:rFonts w:hint="eastAsia"/>
              </w:rPr>
              <w:t>1</w:t>
            </w:r>
            <w:r>
              <w:t>3</w:t>
            </w:r>
          </w:p>
        </w:tc>
        <w:tc>
          <w:tcPr>
            <w:tcW w:w="2017" w:type="pct"/>
            <w:shd w:val="clear" w:color="auto" w:fill="auto"/>
            <w:vAlign w:val="center"/>
          </w:tcPr>
          <w:p>
            <w:pPr>
              <w:pStyle w:val="16"/>
              <w:jc w:val="center"/>
              <w:rPr>
                <w:rFonts w:hint="eastAsia" w:ascii="宋体" w:hAnsi="宋体" w:cs="宋体"/>
                <w:color w:val="000000"/>
                <w:szCs w:val="21"/>
              </w:rPr>
            </w:pPr>
            <w:r>
              <w:rPr>
                <w:rFonts w:hint="eastAsia" w:ascii="宋体" w:hAnsi="宋体" w:cs="宋体"/>
                <w:color w:val="000000"/>
                <w:szCs w:val="21"/>
              </w:rPr>
              <w:t>铬（六价）</w:t>
            </w:r>
          </w:p>
        </w:tc>
        <w:tc>
          <w:tcPr>
            <w:tcW w:w="2264" w:type="pct"/>
            <w:shd w:val="clear" w:color="auto" w:fill="auto"/>
            <w:vAlign w:val="center"/>
          </w:tcPr>
          <w:p>
            <w:pPr>
              <w:pStyle w:val="16"/>
              <w:jc w:val="center"/>
              <w:rPr>
                <w:rFonts w:hint="eastAsia"/>
              </w:rP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rPr>
                <w:rFonts w:hint="eastAsia"/>
              </w:rPr>
            </w:pPr>
            <w:r>
              <w:rPr>
                <w:rFonts w:hint="eastAsia"/>
              </w:rPr>
              <w:t>1</w:t>
            </w:r>
            <w:r>
              <w:t>4</w:t>
            </w:r>
          </w:p>
        </w:tc>
        <w:tc>
          <w:tcPr>
            <w:tcW w:w="2017" w:type="pct"/>
            <w:shd w:val="clear" w:color="auto" w:fill="auto"/>
            <w:vAlign w:val="center"/>
          </w:tcPr>
          <w:p>
            <w:pPr>
              <w:pStyle w:val="16"/>
              <w:jc w:val="center"/>
              <w:rPr>
                <w:rFonts w:hint="eastAsia" w:ascii="宋体" w:hAnsi="宋体" w:cs="宋体"/>
                <w:color w:val="000000"/>
                <w:szCs w:val="21"/>
              </w:rPr>
            </w:pPr>
            <w:r>
              <w:rPr>
                <w:rFonts w:hint="eastAsia" w:ascii="宋体" w:hAnsi="宋体" w:cs="宋体"/>
                <w:color w:val="000000"/>
                <w:szCs w:val="21"/>
              </w:rPr>
              <w:t>镉</w:t>
            </w:r>
          </w:p>
        </w:tc>
        <w:tc>
          <w:tcPr>
            <w:tcW w:w="2264" w:type="pct"/>
            <w:shd w:val="clear" w:color="auto" w:fill="auto"/>
            <w:vAlign w:val="center"/>
          </w:tcPr>
          <w:p>
            <w:pPr>
              <w:pStyle w:val="16"/>
              <w:jc w:val="center"/>
              <w:rPr>
                <w:rFonts w:hint="eastAsia"/>
              </w:rPr>
            </w:pPr>
            <w:r>
              <w:rPr>
                <w:lang w:val="de-DE"/>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pct"/>
            <w:shd w:val="clear" w:color="auto" w:fill="auto"/>
            <w:vAlign w:val="center"/>
          </w:tcPr>
          <w:p>
            <w:pPr>
              <w:pStyle w:val="16"/>
              <w:jc w:val="center"/>
              <w:rPr>
                <w:rFonts w:hint="eastAsia"/>
              </w:rPr>
            </w:pPr>
            <w:r>
              <w:rPr>
                <w:rFonts w:hint="eastAsia"/>
              </w:rPr>
              <w:t>1</w:t>
            </w:r>
            <w:r>
              <w:t>5</w:t>
            </w:r>
          </w:p>
        </w:tc>
        <w:tc>
          <w:tcPr>
            <w:tcW w:w="2017" w:type="pct"/>
            <w:shd w:val="clear" w:color="auto" w:fill="auto"/>
            <w:vAlign w:val="center"/>
          </w:tcPr>
          <w:p>
            <w:pPr>
              <w:pStyle w:val="16"/>
              <w:jc w:val="center"/>
              <w:rPr>
                <w:rFonts w:hint="eastAsia" w:ascii="宋体" w:hAnsi="宋体" w:cs="宋体"/>
                <w:color w:val="000000"/>
                <w:szCs w:val="21"/>
              </w:rPr>
            </w:pPr>
            <w:r>
              <w:rPr>
                <w:rFonts w:hint="eastAsia" w:ascii="宋体" w:hAnsi="宋体" w:cs="宋体"/>
                <w:color w:val="000000"/>
                <w:szCs w:val="21"/>
              </w:rPr>
              <w:t>铅</w:t>
            </w:r>
          </w:p>
        </w:tc>
        <w:tc>
          <w:tcPr>
            <w:tcW w:w="2264" w:type="pct"/>
            <w:shd w:val="clear" w:color="auto" w:fill="auto"/>
            <w:vAlign w:val="center"/>
          </w:tcPr>
          <w:p>
            <w:pPr>
              <w:pStyle w:val="16"/>
              <w:jc w:val="center"/>
              <w:rPr>
                <w:rFonts w:hint="eastAsia"/>
              </w:rPr>
            </w:pPr>
            <w:r>
              <w:rPr>
                <w:lang w:val="de-DE"/>
              </w:rPr>
              <w:t>GB/T 17219-1998</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60"/>
      </w:pPr>
      <w:r>
        <w:rPr>
          <w:lang w:val="de-DE"/>
        </w:rPr>
        <w:t>GB/T 18742.2-2017</w:t>
      </w:r>
      <w:r>
        <w:rPr>
          <w:rFonts w:hint="eastAsia"/>
        </w:rPr>
        <w:t xml:space="preserve"> 冷热水用聚丙烯管道系统 第2部分:管材</w:t>
      </w:r>
    </w:p>
    <w:p>
      <w:pPr>
        <w:pStyle w:val="13"/>
        <w:ind w:firstLine="560"/>
        <w:rPr>
          <w:lang w:val="de-DE"/>
        </w:rPr>
      </w:pPr>
      <w:r>
        <w:rPr>
          <w:lang w:val="de-DE"/>
        </w:rPr>
        <w:t xml:space="preserve">GB/T 17219-1998 </w:t>
      </w:r>
      <w:r>
        <w:rPr>
          <w:rFonts w:hint="eastAsia"/>
          <w:color w:val="000000"/>
          <w:spacing w:val="4"/>
        </w:rPr>
        <w:t>生活饮用水输配水设备及防护材料的安全性评价标准</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71928"/>
    <w:rsid w:val="00194AAE"/>
    <w:rsid w:val="001B3FFF"/>
    <w:rsid w:val="001D5C49"/>
    <w:rsid w:val="002332A7"/>
    <w:rsid w:val="00237F81"/>
    <w:rsid w:val="0027319E"/>
    <w:rsid w:val="0029011D"/>
    <w:rsid w:val="002909E2"/>
    <w:rsid w:val="002B6693"/>
    <w:rsid w:val="00303604"/>
    <w:rsid w:val="00340604"/>
    <w:rsid w:val="00387AD2"/>
    <w:rsid w:val="003C53CB"/>
    <w:rsid w:val="003D3217"/>
    <w:rsid w:val="00407B72"/>
    <w:rsid w:val="00413072"/>
    <w:rsid w:val="00437617"/>
    <w:rsid w:val="004D6675"/>
    <w:rsid w:val="00500AD7"/>
    <w:rsid w:val="005650CE"/>
    <w:rsid w:val="00592615"/>
    <w:rsid w:val="005F151D"/>
    <w:rsid w:val="00616A72"/>
    <w:rsid w:val="006C48D8"/>
    <w:rsid w:val="006E572F"/>
    <w:rsid w:val="006F5D5A"/>
    <w:rsid w:val="00700718"/>
    <w:rsid w:val="00722EED"/>
    <w:rsid w:val="007634AE"/>
    <w:rsid w:val="00773463"/>
    <w:rsid w:val="00780D3F"/>
    <w:rsid w:val="007A6A71"/>
    <w:rsid w:val="007B373B"/>
    <w:rsid w:val="007E3620"/>
    <w:rsid w:val="007F0C03"/>
    <w:rsid w:val="00814694"/>
    <w:rsid w:val="00825254"/>
    <w:rsid w:val="008475D9"/>
    <w:rsid w:val="00861FD0"/>
    <w:rsid w:val="009164FB"/>
    <w:rsid w:val="00920038"/>
    <w:rsid w:val="00924261"/>
    <w:rsid w:val="00970F12"/>
    <w:rsid w:val="009821A1"/>
    <w:rsid w:val="00992296"/>
    <w:rsid w:val="00A339CC"/>
    <w:rsid w:val="00A75C44"/>
    <w:rsid w:val="00A8533F"/>
    <w:rsid w:val="00A92A16"/>
    <w:rsid w:val="00AC48C3"/>
    <w:rsid w:val="00BC0E27"/>
    <w:rsid w:val="00BC545D"/>
    <w:rsid w:val="00BF77CA"/>
    <w:rsid w:val="00C3423C"/>
    <w:rsid w:val="00D031E9"/>
    <w:rsid w:val="00D12DD2"/>
    <w:rsid w:val="00D13D0D"/>
    <w:rsid w:val="00D262D0"/>
    <w:rsid w:val="00D443A7"/>
    <w:rsid w:val="00D52566"/>
    <w:rsid w:val="00D57BF1"/>
    <w:rsid w:val="00DA137F"/>
    <w:rsid w:val="00DA2544"/>
    <w:rsid w:val="00DC1EC6"/>
    <w:rsid w:val="00DC4AF0"/>
    <w:rsid w:val="00E22FBC"/>
    <w:rsid w:val="00E306E7"/>
    <w:rsid w:val="00E5645F"/>
    <w:rsid w:val="00EA1AB7"/>
    <w:rsid w:val="00EA6109"/>
    <w:rsid w:val="00EC71EC"/>
    <w:rsid w:val="00F17120"/>
    <w:rsid w:val="00F707BB"/>
    <w:rsid w:val="00F963C4"/>
    <w:rsid w:val="00FA389D"/>
    <w:rsid w:val="00FA593D"/>
    <w:rsid w:val="00FC0616"/>
    <w:rsid w:val="02E24B01"/>
    <w:rsid w:val="041143BA"/>
    <w:rsid w:val="12DB6025"/>
    <w:rsid w:val="136D40F0"/>
    <w:rsid w:val="162055D1"/>
    <w:rsid w:val="36E707D1"/>
    <w:rsid w:val="37DC31DF"/>
    <w:rsid w:val="51A83450"/>
    <w:rsid w:val="628D12A2"/>
    <w:rsid w:val="6FF7D3B0"/>
    <w:rsid w:val="7C6C3EE0"/>
    <w:rsid w:val="7FDE12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 w:type="paragraph" w:customStyle="1" w:styleId="20">
    <w:name w:val="列出段落1"/>
    <w:basedOn w:val="1"/>
    <w:qFormat/>
    <w:uiPriority w:val="99"/>
    <w:pPr>
      <w:spacing w:after="200" w:line="360" w:lineRule="auto"/>
      <w:ind w:left="720"/>
      <w:contextualSpacing/>
    </w:pPr>
    <w:rPr>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193</Words>
  <Characters>1102</Characters>
  <Lines>9</Lines>
  <Paragraphs>2</Paragraphs>
  <TotalTime>21</TotalTime>
  <ScaleCrop>false</ScaleCrop>
  <LinksUpToDate>false</LinksUpToDate>
  <CharactersWithSpaces>1293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2022-04-26T16:59:46Z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46B3E293ED7D4B61A30338602F752EFD</vt:lpwstr>
  </property>
</Properties>
</file>