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eastAsia="方正小标宋简体" w:cs="方正仿宋简体"/>
          <w:color w:val="auto"/>
          <w:sz w:val="32"/>
          <w:szCs w:val="32"/>
          <w:lang w:val="en-US" w:eastAsia="zh-CN"/>
        </w:rPr>
      </w:pPr>
      <w:r>
        <w:rPr>
          <w:rFonts w:hint="eastAsia" w:ascii="Times New Roman" w:hAnsi="Times New Roman" w:eastAsia="方正小标宋简体" w:cs="方正仿宋简体"/>
          <w:b w:val="0"/>
          <w:bCs w:val="0"/>
          <w:color w:val="000000"/>
          <w:sz w:val="32"/>
          <w:szCs w:val="32"/>
        </w:rPr>
        <w:t>202</w:t>
      </w:r>
      <w:r>
        <w:rPr>
          <w:rFonts w:hint="eastAsia" w:ascii="Times New Roman" w:hAnsi="Times New Roman" w:eastAsia="方正小标宋简体" w:cs="方正仿宋简体"/>
          <w:b w:val="0"/>
          <w:bCs w:val="0"/>
          <w:color w:val="000000"/>
          <w:sz w:val="32"/>
          <w:szCs w:val="32"/>
          <w:lang w:val="en-US" w:eastAsia="zh-CN"/>
        </w:rPr>
        <w:t>2</w:t>
      </w:r>
      <w:r>
        <w:rPr>
          <w:rFonts w:hint="eastAsia" w:ascii="Times New Roman" w:hAnsi="Times New Roman" w:eastAsia="方正小标宋简体" w:cs="方正仿宋简体"/>
          <w:b w:val="0"/>
          <w:bCs w:val="0"/>
          <w:color w:val="000000"/>
          <w:sz w:val="32"/>
          <w:szCs w:val="32"/>
        </w:rPr>
        <w:t>年</w:t>
      </w:r>
      <w:r>
        <w:rPr>
          <w:rFonts w:hint="eastAsia" w:eastAsia="方正小标宋简体" w:cs="方正仿宋简体"/>
          <w:b w:val="0"/>
          <w:bCs w:val="0"/>
          <w:color w:val="auto"/>
          <w:sz w:val="32"/>
          <w:szCs w:val="32"/>
          <w:lang w:val="en-US" w:eastAsia="zh-CN"/>
        </w:rPr>
        <w:t>鄂尔多斯市校</w:t>
      </w:r>
      <w:r>
        <w:rPr>
          <w:rFonts w:hint="eastAsia" w:eastAsia="方正小标宋简体" w:cs="方正仿宋简体"/>
          <w:b w:val="0"/>
          <w:bCs w:val="0"/>
          <w:color w:val="auto"/>
          <w:sz w:val="32"/>
          <w:szCs w:val="32"/>
          <w:lang w:val="en-US" w:eastAsia="zh-CN"/>
        </w:rPr>
        <w:t>服产</w:t>
      </w:r>
      <w:r>
        <w:rPr>
          <w:rFonts w:hint="eastAsia" w:eastAsia="方正小标宋简体" w:cs="方正仿宋简体"/>
          <w:color w:val="auto"/>
          <w:sz w:val="32"/>
          <w:szCs w:val="32"/>
          <w:lang w:val="en-US" w:eastAsia="zh-CN"/>
        </w:rPr>
        <w:t>品</w:t>
      </w:r>
      <w:bookmarkStart w:id="0" w:name="_GoBack"/>
      <w:bookmarkEnd w:id="0"/>
      <w:r>
        <w:rPr>
          <w:rFonts w:hint="eastAsia" w:eastAsia="方正小标宋简体" w:cs="方正仿宋简体"/>
          <w:color w:val="auto"/>
          <w:sz w:val="32"/>
          <w:szCs w:val="32"/>
          <w:lang w:val="en-US" w:eastAsia="zh-CN"/>
        </w:rPr>
        <w:t>质量监督抽查实施细则</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每批次产品抽取样品2件（条、套），其中1件（条、套）作为检验样品，1件（条、套）作为备用样品。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rPr>
          <w:rFonts w:eastAsia="黑体"/>
          <w:color w:val="000000"/>
          <w:szCs w:val="21"/>
        </w:rPr>
      </w:pPr>
    </w:p>
    <w:tbl>
      <w:tblPr>
        <w:tblStyle w:val="5"/>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1304" w:type="dxa"/>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3468" w:type="dxa"/>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4402" w:type="dxa"/>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4402" w:type="dxa"/>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4402" w:type="dxa"/>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4402" w:type="dxa"/>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4402"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耐酸汗渍色牢度</w:t>
            </w:r>
          </w:p>
        </w:tc>
        <w:tc>
          <w:tcPr>
            <w:tcW w:w="4402"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耐碱汗渍色牢度</w:t>
            </w:r>
          </w:p>
        </w:tc>
        <w:tc>
          <w:tcPr>
            <w:tcW w:w="4402"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4402"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8</w:t>
            </w:r>
          </w:p>
        </w:tc>
        <w:tc>
          <w:tcPr>
            <w:tcW w:w="3468"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耐</w:t>
            </w:r>
            <w:r>
              <w:rPr>
                <w:rFonts w:hint="eastAsia" w:ascii="Times New Roman" w:hAnsi="Times New Roman"/>
                <w:color w:val="000000"/>
                <w:szCs w:val="21"/>
                <w:lang w:val="en-US" w:eastAsia="zh-CN"/>
              </w:rPr>
              <w:t>湿</w:t>
            </w:r>
            <w:r>
              <w:rPr>
                <w:rFonts w:hint="eastAsia" w:ascii="Times New Roman" w:hAnsi="Times New Roman"/>
                <w:color w:val="000000"/>
                <w:szCs w:val="21"/>
              </w:rPr>
              <w:t>摩擦色牢度</w:t>
            </w:r>
          </w:p>
        </w:tc>
        <w:tc>
          <w:tcPr>
            <w:tcW w:w="4402"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9</w:t>
            </w:r>
          </w:p>
        </w:tc>
        <w:tc>
          <w:tcPr>
            <w:tcW w:w="3468" w:type="dxa"/>
            <w:vAlign w:val="center"/>
          </w:tcPr>
          <w:p>
            <w:pPr>
              <w:adjustRightInd w:val="0"/>
              <w:snapToGrid w:val="0"/>
              <w:jc w:val="center"/>
              <w:rPr>
                <w:rFonts w:hint="eastAsia" w:ascii="Times New Roman" w:hAnsi="Times New Roman"/>
                <w:color w:val="000000"/>
                <w:szCs w:val="21"/>
              </w:rPr>
            </w:pPr>
            <w:r>
              <w:rPr>
                <w:rFonts w:hint="eastAsia" w:ascii="宋体" w:hAnsi="宋体" w:eastAsia="宋体" w:cs="宋体"/>
                <w:color w:val="000000"/>
                <w:kern w:val="0"/>
                <w:szCs w:val="21"/>
              </w:rPr>
              <w:t>耐光色牢度</w:t>
            </w:r>
          </w:p>
        </w:tc>
        <w:tc>
          <w:tcPr>
            <w:tcW w:w="4402"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GB/T 8426-1998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hint="default" w:ascii="Times New Roman" w:hAnsi="Times New Roman" w:eastAsia="宋体"/>
                <w:color w:val="000000"/>
                <w:szCs w:val="21"/>
                <w:lang w:val="en-US" w:eastAsia="zh-CN"/>
              </w:rPr>
            </w:pPr>
            <w:r>
              <w:rPr>
                <w:rFonts w:hint="eastAsia" w:ascii="Times New Roman" w:hAnsi="Times New Roman"/>
                <w:color w:val="000000"/>
                <w:szCs w:val="21"/>
                <w:lang w:val="en-US" w:eastAsia="zh-CN"/>
              </w:rPr>
              <w:t>10</w:t>
            </w:r>
          </w:p>
        </w:tc>
        <w:tc>
          <w:tcPr>
            <w:tcW w:w="3468" w:type="dxa"/>
            <w:vAlign w:val="center"/>
          </w:tcPr>
          <w:p>
            <w:pPr>
              <w:adjustRightInd w:val="0"/>
              <w:snapToGrid w:val="0"/>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耐光、汗复合色牢度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碱性</w:t>
            </w:r>
            <w:r>
              <w:rPr>
                <w:rFonts w:hint="eastAsia" w:ascii="宋体" w:hAnsi="宋体" w:cs="宋体"/>
                <w:color w:val="000000"/>
                <w:kern w:val="0"/>
                <w:szCs w:val="21"/>
                <w:lang w:eastAsia="zh-CN"/>
              </w:rPr>
              <w:t>）</w:t>
            </w:r>
          </w:p>
        </w:tc>
        <w:tc>
          <w:tcPr>
            <w:tcW w:w="4402"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11</w:t>
            </w:r>
          </w:p>
        </w:tc>
        <w:tc>
          <w:tcPr>
            <w:tcW w:w="3468" w:type="dxa"/>
            <w:vAlign w:val="center"/>
          </w:tcPr>
          <w:p>
            <w:pPr>
              <w:adjustRightInd w:val="0"/>
              <w:snapToGrid w:val="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耐皂洗色牢度</w:t>
            </w:r>
          </w:p>
        </w:tc>
        <w:tc>
          <w:tcPr>
            <w:tcW w:w="4402"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GB/T</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4" w:type="dxa"/>
            <w:vAlign w:val="center"/>
          </w:tcPr>
          <w:p>
            <w:pPr>
              <w:adjustRightInd w:val="0"/>
              <w:snapToGrid w:val="0"/>
              <w:jc w:val="center"/>
              <w:rPr>
                <w:rFonts w:hint="default" w:ascii="Times New Roman" w:hAnsi="Times New Roman" w:eastAsia="宋体"/>
                <w:color w:val="000000"/>
                <w:szCs w:val="21"/>
                <w:lang w:val="en-US" w:eastAsia="zh-CN"/>
              </w:rPr>
            </w:pPr>
            <w:r>
              <w:rPr>
                <w:rFonts w:hint="eastAsia" w:ascii="Times New Roman" w:hAnsi="Times New Roman"/>
                <w:color w:val="000000"/>
                <w:szCs w:val="21"/>
                <w:lang w:val="en-US" w:eastAsia="zh-CN"/>
              </w:rPr>
              <w:t>12</w:t>
            </w:r>
          </w:p>
        </w:tc>
        <w:tc>
          <w:tcPr>
            <w:tcW w:w="3468" w:type="dxa"/>
            <w:vAlign w:val="center"/>
          </w:tcPr>
          <w:p>
            <w:pPr>
              <w:adjustRightInd w:val="0"/>
              <w:snapToGrid w:val="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异味</w:t>
            </w:r>
          </w:p>
        </w:tc>
        <w:tc>
          <w:tcPr>
            <w:tcW w:w="4402" w:type="dxa"/>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vAlign w:val="center"/>
          </w:tcPr>
          <w:p>
            <w:pPr>
              <w:adjustRightInd w:val="0"/>
              <w:snapToGrid w:val="0"/>
              <w:jc w:val="center"/>
              <w:rPr>
                <w:rFonts w:hint="default" w:ascii="Times New Roman" w:hAnsi="Times New Roman" w:eastAsia="宋体"/>
                <w:color w:val="000000"/>
                <w:szCs w:val="21"/>
                <w:lang w:val="en-US" w:eastAsia="zh-CN"/>
              </w:rPr>
            </w:pPr>
            <w:r>
              <w:rPr>
                <w:rFonts w:hint="eastAsia" w:ascii="Times New Roman" w:hAnsi="Times New Roman"/>
                <w:color w:val="000000"/>
                <w:szCs w:val="21"/>
                <w:lang w:val="en-US" w:eastAsia="zh-CN"/>
              </w:rPr>
              <w:t>13</w:t>
            </w:r>
          </w:p>
        </w:tc>
        <w:tc>
          <w:tcPr>
            <w:tcW w:w="3468"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4402" w:type="dxa"/>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2910.4-2009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16988-2013</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01095-2002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30003-2009</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18401-2010 国家纺织产品基本安全技术规范</w:t>
      </w:r>
    </w:p>
    <w:p>
      <w:pPr>
        <w:adjustRightInd w:val="0"/>
        <w:snapToGrid w:val="0"/>
        <w:spacing w:line="440" w:lineRule="exact"/>
        <w:ind w:firstLine="420" w:firstLineChars="200"/>
        <w:rPr>
          <w:rFonts w:hint="eastAsia"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GB/T 31888-2015 中小学生校服</w:t>
      </w:r>
    </w:p>
    <w:p>
      <w:pPr>
        <w:adjustRightInd w:val="0"/>
        <w:snapToGrid w:val="0"/>
        <w:spacing w:line="440" w:lineRule="exact"/>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GB/T 22854-2009 针织学生服</w:t>
      </w:r>
    </w:p>
    <w:p>
      <w:pPr>
        <w:adjustRightInd w:val="0"/>
        <w:snapToGrid w:val="0"/>
        <w:spacing w:line="440" w:lineRule="exact"/>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GB/T 23328-2009 机织学生服</w:t>
      </w:r>
    </w:p>
    <w:p>
      <w:pPr>
        <w:adjustRightInd w:val="0"/>
        <w:snapToGrid w:val="0"/>
        <w:spacing w:line="440" w:lineRule="exact"/>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GB/T 2662-2017 棉服装</w:t>
      </w:r>
    </w:p>
    <w:p>
      <w:pPr>
        <w:adjustRightInd w:val="0"/>
        <w:snapToGrid w:val="0"/>
        <w:spacing w:line="440" w:lineRule="exact"/>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FZ/T 81004-2012 连衣裙、裙套</w:t>
      </w:r>
    </w:p>
    <w:p>
      <w:pPr>
        <w:adjustRightInd w:val="0"/>
        <w:snapToGrid w:val="0"/>
        <w:spacing w:line="440" w:lineRule="exact"/>
        <w:ind w:firstLine="420" w:firstLineChars="200"/>
        <w:rPr>
          <w:rFonts w:hint="default" w:ascii="Times New Roman" w:hAnsi="Times New Roman"/>
          <w:szCs w:val="21"/>
          <w:lang w:val="en-US" w:eastAsia="zh-CN"/>
        </w:rPr>
      </w:pPr>
      <w:r>
        <w:rPr>
          <w:rFonts w:hint="eastAsia" w:ascii="Times New Roman" w:hAnsi="Times New Roman"/>
          <w:szCs w:val="21"/>
          <w:lang w:val="en-US" w:eastAsia="zh-CN"/>
        </w:rPr>
        <w:t>GB/T 22853-2019 针织运动服</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11126F"/>
    <w:rsid w:val="00121AD2"/>
    <w:rsid w:val="00172A27"/>
    <w:rsid w:val="001752B3"/>
    <w:rsid w:val="001809DD"/>
    <w:rsid w:val="001B1B80"/>
    <w:rsid w:val="001C5B9E"/>
    <w:rsid w:val="001E2A58"/>
    <w:rsid w:val="001E5FDD"/>
    <w:rsid w:val="00200F7E"/>
    <w:rsid w:val="00204381"/>
    <w:rsid w:val="00232530"/>
    <w:rsid w:val="00253624"/>
    <w:rsid w:val="00271173"/>
    <w:rsid w:val="002A0EB6"/>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32C7D"/>
    <w:rsid w:val="005547B9"/>
    <w:rsid w:val="00563EBC"/>
    <w:rsid w:val="005B2B74"/>
    <w:rsid w:val="005F410D"/>
    <w:rsid w:val="0061401E"/>
    <w:rsid w:val="00653ACE"/>
    <w:rsid w:val="00683D59"/>
    <w:rsid w:val="00686C1D"/>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847CA2"/>
    <w:rsid w:val="00854A39"/>
    <w:rsid w:val="00895BEA"/>
    <w:rsid w:val="008A3497"/>
    <w:rsid w:val="008A784B"/>
    <w:rsid w:val="008C2891"/>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44C01"/>
    <w:rsid w:val="00B4598B"/>
    <w:rsid w:val="00B8665C"/>
    <w:rsid w:val="00B92E75"/>
    <w:rsid w:val="00BB6DAB"/>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24D81"/>
    <w:rsid w:val="00F37FFC"/>
    <w:rsid w:val="00F427D1"/>
    <w:rsid w:val="00F55BB7"/>
    <w:rsid w:val="00F77C9A"/>
    <w:rsid w:val="00FB576C"/>
    <w:rsid w:val="00FC4DB1"/>
    <w:rsid w:val="00FD2AA6"/>
    <w:rsid w:val="00FD6D81"/>
    <w:rsid w:val="00FE7E8A"/>
    <w:rsid w:val="00FF5126"/>
    <w:rsid w:val="0385268A"/>
    <w:rsid w:val="06AC3180"/>
    <w:rsid w:val="0A645D1F"/>
    <w:rsid w:val="123767B7"/>
    <w:rsid w:val="1C0C4212"/>
    <w:rsid w:val="225FEBE7"/>
    <w:rsid w:val="227F6C37"/>
    <w:rsid w:val="28C25756"/>
    <w:rsid w:val="2B0013F2"/>
    <w:rsid w:val="2EC2549B"/>
    <w:rsid w:val="30F44350"/>
    <w:rsid w:val="36442EA4"/>
    <w:rsid w:val="373175D4"/>
    <w:rsid w:val="3F241496"/>
    <w:rsid w:val="40DE3121"/>
    <w:rsid w:val="45397ECA"/>
    <w:rsid w:val="46D75602"/>
    <w:rsid w:val="4B16063C"/>
    <w:rsid w:val="4CEC5FD7"/>
    <w:rsid w:val="54786C3F"/>
    <w:rsid w:val="65282E3C"/>
    <w:rsid w:val="67302690"/>
    <w:rsid w:val="67645E1E"/>
    <w:rsid w:val="6AFF3292"/>
    <w:rsid w:val="705C24F5"/>
    <w:rsid w:val="707E5095"/>
    <w:rsid w:val="70FE4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字符"/>
    <w:link w:val="2"/>
    <w:semiHidden/>
    <w:qFormat/>
    <w:uiPriority w:val="99"/>
    <w:rPr>
      <w:kern w:val="2"/>
      <w:sz w:val="18"/>
      <w:szCs w:val="18"/>
    </w:rPr>
  </w:style>
  <w:style w:type="character" w:customStyle="1" w:styleId="9">
    <w:name w:val="fontstyle01"/>
    <w:qFormat/>
    <w:uiPriority w:val="0"/>
    <w:rPr>
      <w:rFonts w:hint="eastAsia" w:ascii="宋体" w:hAnsi="宋体" w:eastAsia="宋体"/>
      <w:color w:val="000000"/>
      <w:sz w:val="22"/>
      <w:szCs w:val="22"/>
    </w:rPr>
  </w:style>
  <w:style w:type="character" w:customStyle="1" w:styleId="10">
    <w:name w:val="页眉 字符"/>
    <w:link w:val="4"/>
    <w:semiHidden/>
    <w:qFormat/>
    <w:uiPriority w:val="99"/>
    <w:rPr>
      <w:kern w:val="2"/>
      <w:sz w:val="18"/>
      <w:szCs w:val="18"/>
    </w:rPr>
  </w:style>
  <w:style w:type="character" w:customStyle="1" w:styleId="11">
    <w:name w:val="页脚 字符"/>
    <w:link w:val="3"/>
    <w:qFormat/>
    <w:uiPriority w:val="99"/>
    <w:rPr>
      <w:kern w:val="2"/>
      <w:sz w:val="18"/>
      <w:szCs w:val="18"/>
    </w:rPr>
  </w:style>
  <w:style w:type="paragraph" w:customStyle="1" w:styleId="12">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3">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807</Words>
  <Characters>1363</Characters>
  <Lines>13</Lines>
  <Paragraphs>3</Paragraphs>
  <TotalTime>0</TotalTime>
  <ScaleCrop>false</ScaleCrop>
  <LinksUpToDate>false</LinksUpToDate>
  <CharactersWithSpaces>1419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2021-03-24T22:01:00Z</dcterms:created>
  <dc:creator>Legend User</dc:creator>
  <cp:lastModifiedBy>greatwall</cp:lastModifiedBy>
  <cp:lastPrinted>2020-02-12T10:19:00Z</cp:lastPrinted>
  <dcterms:modified xsi:type="dcterms:W3CDTF">2022-04-26T16:58:02Z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KSOSaveFontToCloudKey">
    <vt:lpwstr>550453206_embed</vt:lpwstr>
  </property>
  <property fmtid="{D5CDD505-2E9C-101B-9397-08002B2CF9AE}" pid="4" name="ICV">
    <vt:lpwstr>B5A7EFDD1FC146DE88076E4796D38756</vt:lpwstr>
  </property>
</Properties>
</file>