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bookmarkStart w:id="0" w:name="_GoBack"/>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年鄂尔多斯市合成树脂乳液外墙涂料</w:t>
      </w:r>
      <w:r>
        <w:rPr>
          <w:sz w:val="30"/>
          <w:szCs w:val="30"/>
        </w:rPr>
        <w:t>产品质量监督抽查</w:t>
      </w:r>
      <w:r>
        <w:rPr>
          <w:rFonts w:hint="eastAsia"/>
          <w:sz w:val="30"/>
          <w:szCs w:val="30"/>
        </w:rPr>
        <w:t>实施细则</w:t>
      </w:r>
    </w:p>
    <w:bookmarkEnd w:id="0"/>
    <w:p>
      <w:pPr>
        <w:pStyle w:val="15"/>
      </w:pPr>
      <w:r>
        <w:rPr>
          <w:rFonts w:hint="eastAsia"/>
        </w:rPr>
        <w:t>1 抽样方法</w:t>
      </w:r>
    </w:p>
    <w:p>
      <w:pPr>
        <w:pStyle w:val="15"/>
        <w:ind w:firstLine="560" w:firstLineChars="200"/>
        <w:rPr>
          <w:b w:val="0"/>
          <w:bCs/>
        </w:rPr>
      </w:pPr>
      <w:r>
        <w:rPr>
          <w:rFonts w:hint="eastAsia"/>
          <w:b w:val="0"/>
          <w:bCs/>
        </w:rPr>
        <w:t>以随机抽样的方式在被抽样生产者、销售者的待销产品中抽取。</w:t>
      </w:r>
    </w:p>
    <w:p>
      <w:pPr>
        <w:pStyle w:val="15"/>
        <w:ind w:firstLine="560" w:firstLineChars="200"/>
        <w:rPr>
          <w:b w:val="0"/>
          <w:bCs/>
        </w:rPr>
      </w:pPr>
      <w:r>
        <w:rPr>
          <w:rFonts w:hint="eastAsia"/>
          <w:b w:val="0"/>
          <w:bCs/>
        </w:rPr>
        <w:t>随机数一般可使用随机数表等方法产生。</w:t>
      </w:r>
    </w:p>
    <w:p>
      <w:pPr>
        <w:pStyle w:val="13"/>
        <w:ind w:firstLine="560"/>
      </w:pPr>
      <w:r>
        <w:rPr>
          <w:rFonts w:hint="eastAsia"/>
        </w:rPr>
        <w:t>单组分:抽取不低于3kg的样品2份。</w:t>
      </w:r>
    </w:p>
    <w:p>
      <w:pPr>
        <w:pStyle w:val="13"/>
        <w:ind w:firstLine="560"/>
      </w:pPr>
      <w:r>
        <w:rPr>
          <w:rFonts w:hint="eastAsia"/>
        </w:rPr>
        <w:t>多组分:抽取主漆不低于3kg的样品2份,配套产品按配比抽取样品2份。</w:t>
      </w:r>
    </w:p>
    <w:p>
      <w:pPr>
        <w:pStyle w:val="15"/>
      </w:pPr>
      <w:r>
        <w:rPr>
          <w:rFonts w:hint="eastAsia"/>
        </w:rPr>
        <w:t>2 检验依据</w:t>
      </w:r>
    </w:p>
    <w:p>
      <w:pPr>
        <w:pStyle w:val="17"/>
      </w:pPr>
      <w:r>
        <w:rPr>
          <w:rFonts w:hint="eastAsia"/>
          <w:b w:val="0"/>
          <w:bCs/>
        </w:rPr>
        <w:t>表1 合成树脂乳液外墙涂料</w:t>
      </w:r>
    </w:p>
    <w:tbl>
      <w:tblPr>
        <w:tblStyle w:val="6"/>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2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restart"/>
            <w:shd w:val="clear" w:color="auto" w:fill="auto"/>
            <w:vAlign w:val="center"/>
          </w:tcPr>
          <w:p>
            <w:pPr>
              <w:pStyle w:val="16"/>
              <w:jc w:val="center"/>
            </w:pPr>
            <w:r>
              <w:rPr>
                <w:rFonts w:hint="eastAsia"/>
              </w:rPr>
              <w:t>序号</w:t>
            </w:r>
          </w:p>
        </w:tc>
        <w:tc>
          <w:tcPr>
            <w:tcW w:w="3420" w:type="dxa"/>
            <w:vMerge w:val="restart"/>
            <w:shd w:val="clear" w:color="auto" w:fill="auto"/>
            <w:vAlign w:val="center"/>
          </w:tcPr>
          <w:p>
            <w:pPr>
              <w:pStyle w:val="16"/>
              <w:jc w:val="center"/>
            </w:pPr>
            <w:r>
              <w:rPr>
                <w:rFonts w:hint="eastAsia"/>
              </w:rPr>
              <w:t>检验项目</w:t>
            </w:r>
          </w:p>
        </w:tc>
        <w:tc>
          <w:tcPr>
            <w:tcW w:w="3840" w:type="dxa"/>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continue"/>
            <w:shd w:val="clear" w:color="auto" w:fill="auto"/>
            <w:vAlign w:val="center"/>
          </w:tcPr>
          <w:p>
            <w:pPr>
              <w:pStyle w:val="16"/>
              <w:jc w:val="center"/>
            </w:pPr>
          </w:p>
        </w:tc>
        <w:tc>
          <w:tcPr>
            <w:tcW w:w="3420" w:type="dxa"/>
            <w:vMerge w:val="continue"/>
            <w:shd w:val="clear" w:color="auto" w:fill="auto"/>
            <w:vAlign w:val="center"/>
          </w:tcPr>
          <w:p>
            <w:pPr>
              <w:pStyle w:val="16"/>
              <w:jc w:val="center"/>
            </w:pPr>
          </w:p>
        </w:tc>
        <w:tc>
          <w:tcPr>
            <w:tcW w:w="3840" w:type="dxa"/>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w:t>
            </w:r>
          </w:p>
        </w:tc>
        <w:tc>
          <w:tcPr>
            <w:tcW w:w="3420" w:type="dxa"/>
            <w:shd w:val="clear" w:color="auto" w:fill="auto"/>
            <w:vAlign w:val="center"/>
          </w:tcPr>
          <w:p>
            <w:pPr>
              <w:pStyle w:val="16"/>
              <w:jc w:val="center"/>
            </w:pPr>
            <w:r>
              <w:rPr>
                <w:rFonts w:hint="eastAsia"/>
              </w:rPr>
              <w:t>VOC含量</w:t>
            </w:r>
          </w:p>
        </w:tc>
        <w:tc>
          <w:tcPr>
            <w:tcW w:w="3840" w:type="dxa"/>
            <w:shd w:val="clear" w:color="auto" w:fill="auto"/>
            <w:vAlign w:val="center"/>
          </w:tcPr>
          <w:p>
            <w:pPr>
              <w:pStyle w:val="16"/>
              <w:jc w:val="center"/>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219" w:type="dxa"/>
            <w:shd w:val="clear" w:color="auto" w:fill="auto"/>
            <w:vAlign w:val="center"/>
          </w:tcPr>
          <w:p>
            <w:pPr>
              <w:pStyle w:val="16"/>
              <w:jc w:val="center"/>
            </w:pPr>
            <w:r>
              <w:rPr>
                <w:rFonts w:hint="eastAsia"/>
              </w:rPr>
              <w:t>2</w:t>
            </w:r>
          </w:p>
        </w:tc>
        <w:tc>
          <w:tcPr>
            <w:tcW w:w="3420" w:type="dxa"/>
            <w:shd w:val="clear" w:color="auto" w:fill="auto"/>
            <w:vAlign w:val="center"/>
          </w:tcPr>
          <w:p>
            <w:pPr>
              <w:pStyle w:val="16"/>
              <w:jc w:val="center"/>
            </w:pPr>
            <w:r>
              <w:rPr>
                <w:rFonts w:hint="eastAsia"/>
              </w:rPr>
              <w:t>甲醛含量</w:t>
            </w:r>
          </w:p>
        </w:tc>
        <w:tc>
          <w:tcPr>
            <w:tcW w:w="3840" w:type="dxa"/>
            <w:shd w:val="clear" w:color="auto" w:fill="auto"/>
            <w:vAlign w:val="center"/>
          </w:tcPr>
          <w:p>
            <w:pPr>
              <w:pStyle w:val="16"/>
              <w:jc w:val="center"/>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219" w:type="dxa"/>
            <w:shd w:val="clear" w:color="auto" w:fill="auto"/>
            <w:vAlign w:val="center"/>
          </w:tcPr>
          <w:p>
            <w:pPr>
              <w:pStyle w:val="16"/>
              <w:jc w:val="center"/>
            </w:pPr>
            <w:r>
              <w:rPr>
                <w:rFonts w:hint="eastAsia"/>
              </w:rPr>
              <w:t>3</w:t>
            </w:r>
          </w:p>
        </w:tc>
        <w:tc>
          <w:tcPr>
            <w:tcW w:w="3420" w:type="dxa"/>
            <w:shd w:val="clear" w:color="auto" w:fill="auto"/>
            <w:vAlign w:val="center"/>
          </w:tcPr>
          <w:p>
            <w:pPr>
              <w:pStyle w:val="16"/>
              <w:jc w:val="center"/>
            </w:pPr>
            <w:r>
              <w:rPr>
                <w:rFonts w:hint="eastAsia"/>
              </w:rPr>
              <w:t>苯系物总和含量</w:t>
            </w:r>
          </w:p>
        </w:tc>
        <w:tc>
          <w:tcPr>
            <w:tcW w:w="3840" w:type="dxa"/>
            <w:shd w:val="clear" w:color="auto" w:fill="auto"/>
            <w:vAlign w:val="center"/>
          </w:tcPr>
          <w:p>
            <w:pPr>
              <w:pStyle w:val="16"/>
              <w:jc w:val="center"/>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19" w:type="dxa"/>
            <w:shd w:val="clear" w:color="auto" w:fill="auto"/>
            <w:vAlign w:val="center"/>
          </w:tcPr>
          <w:p>
            <w:pPr>
              <w:pStyle w:val="16"/>
              <w:jc w:val="center"/>
            </w:pPr>
            <w:r>
              <w:rPr>
                <w:rFonts w:hint="eastAsia"/>
              </w:rPr>
              <w:t>4</w:t>
            </w:r>
          </w:p>
        </w:tc>
        <w:tc>
          <w:tcPr>
            <w:tcW w:w="3420" w:type="dxa"/>
            <w:shd w:val="clear" w:color="auto" w:fill="auto"/>
            <w:vAlign w:val="center"/>
          </w:tcPr>
          <w:p>
            <w:pPr>
              <w:pStyle w:val="16"/>
              <w:jc w:val="center"/>
            </w:pPr>
            <w:r>
              <w:rPr>
                <w:rFonts w:hint="eastAsia"/>
              </w:rPr>
              <w:t>低温稳定性</w:t>
            </w:r>
          </w:p>
        </w:tc>
        <w:tc>
          <w:tcPr>
            <w:tcW w:w="3840" w:type="dxa"/>
            <w:shd w:val="clear" w:color="auto" w:fill="auto"/>
            <w:vAlign w:val="center"/>
          </w:tcPr>
          <w:p>
            <w:pPr>
              <w:jc w:val="center"/>
            </w:pPr>
            <w:r>
              <w:rPr>
                <w:rFonts w:hint="eastAsia" w:ascii="仿宋_GB2312" w:eastAsia="仿宋_GB2312"/>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5</w:t>
            </w:r>
          </w:p>
        </w:tc>
        <w:tc>
          <w:tcPr>
            <w:tcW w:w="3420" w:type="dxa"/>
            <w:shd w:val="clear" w:color="auto" w:fill="auto"/>
            <w:vAlign w:val="center"/>
          </w:tcPr>
          <w:p>
            <w:pPr>
              <w:pStyle w:val="16"/>
              <w:jc w:val="center"/>
            </w:pPr>
            <w:r>
              <w:rPr>
                <w:rFonts w:hint="eastAsia"/>
              </w:rPr>
              <w:t>施工性</w:t>
            </w:r>
          </w:p>
        </w:tc>
        <w:tc>
          <w:tcPr>
            <w:tcW w:w="3840" w:type="dxa"/>
            <w:shd w:val="clear" w:color="auto" w:fill="auto"/>
            <w:vAlign w:val="center"/>
          </w:tcPr>
          <w:p>
            <w:pPr>
              <w:jc w:val="center"/>
            </w:pPr>
            <w:r>
              <w:rPr>
                <w:rFonts w:hint="eastAsia" w:ascii="仿宋_GB2312" w:eastAsia="仿宋_GB2312"/>
              </w:rPr>
              <w:t>GB/T 9755</w:t>
            </w:r>
            <w:r>
              <w:rPr>
                <w:rFonts w:ascii="仿宋_GB2312" w:eastAsia="仿宋_GB2312"/>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6</w:t>
            </w:r>
          </w:p>
        </w:tc>
        <w:tc>
          <w:tcPr>
            <w:tcW w:w="3420" w:type="dxa"/>
            <w:shd w:val="clear" w:color="auto" w:fill="auto"/>
            <w:vAlign w:val="center"/>
          </w:tcPr>
          <w:p>
            <w:pPr>
              <w:pStyle w:val="16"/>
              <w:jc w:val="center"/>
            </w:pPr>
            <w:r>
              <w:rPr>
                <w:rFonts w:hint="eastAsia"/>
              </w:rPr>
              <w:t>涂膜外观</w:t>
            </w:r>
          </w:p>
        </w:tc>
        <w:tc>
          <w:tcPr>
            <w:tcW w:w="3840" w:type="dxa"/>
            <w:shd w:val="clear" w:color="auto" w:fill="auto"/>
            <w:vAlign w:val="center"/>
          </w:tcPr>
          <w:p>
            <w:pPr>
              <w:jc w:val="center"/>
            </w:pPr>
            <w:r>
              <w:rPr>
                <w:rFonts w:hint="eastAsia" w:ascii="仿宋_GB2312" w:eastAsia="仿宋_GB2312"/>
              </w:rPr>
              <w:t>GB/T 9755</w:t>
            </w:r>
            <w:r>
              <w:rPr>
                <w:rFonts w:ascii="仿宋_GB2312" w:eastAsia="仿宋_GB2312"/>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7</w:t>
            </w:r>
          </w:p>
        </w:tc>
        <w:tc>
          <w:tcPr>
            <w:tcW w:w="3420" w:type="dxa"/>
            <w:shd w:val="clear" w:color="auto" w:fill="auto"/>
            <w:vAlign w:val="center"/>
          </w:tcPr>
          <w:p>
            <w:pPr>
              <w:pStyle w:val="16"/>
              <w:jc w:val="center"/>
            </w:pPr>
            <w:r>
              <w:rPr>
                <w:rFonts w:hint="eastAsia"/>
              </w:rPr>
              <w:t>耐洗刷性</w:t>
            </w:r>
          </w:p>
        </w:tc>
        <w:tc>
          <w:tcPr>
            <w:tcW w:w="3840" w:type="dxa"/>
            <w:shd w:val="clear" w:color="auto" w:fill="auto"/>
            <w:vAlign w:val="center"/>
          </w:tcPr>
          <w:p>
            <w:pPr>
              <w:jc w:val="center"/>
            </w:pPr>
            <w:r>
              <w:rPr>
                <w:rFonts w:hint="eastAsia" w:ascii="仿宋_GB2312" w:eastAsia="仿宋_GB2312"/>
              </w:rPr>
              <w:t>GB/T 9755</w:t>
            </w:r>
            <w:r>
              <w:rPr>
                <w:rFonts w:ascii="仿宋_GB2312" w:eastAsia="仿宋_GB2312"/>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8</w:t>
            </w:r>
          </w:p>
        </w:tc>
        <w:tc>
          <w:tcPr>
            <w:tcW w:w="3420" w:type="dxa"/>
            <w:shd w:val="clear" w:color="auto" w:fill="auto"/>
            <w:vAlign w:val="center"/>
          </w:tcPr>
          <w:p>
            <w:pPr>
              <w:pStyle w:val="16"/>
              <w:jc w:val="center"/>
            </w:pPr>
            <w:r>
              <w:rPr>
                <w:rFonts w:hint="eastAsia"/>
              </w:rPr>
              <w:t>耐碱性</w:t>
            </w:r>
          </w:p>
        </w:tc>
        <w:tc>
          <w:tcPr>
            <w:tcW w:w="3840" w:type="dxa"/>
            <w:shd w:val="clear" w:color="auto" w:fill="auto"/>
            <w:vAlign w:val="center"/>
          </w:tcPr>
          <w:p>
            <w:pPr>
              <w:jc w:val="center"/>
            </w:pPr>
            <w:r>
              <w:rPr>
                <w:rFonts w:hint="eastAsia" w:ascii="仿宋_GB2312" w:eastAsia="仿宋_GB2312"/>
              </w:rPr>
              <w:t>GB/T 9265-2009</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rFonts w:hint="eastAsia"/>
          <w:lang w:val="de-DE"/>
        </w:rPr>
        <w:t>GB 18</w:t>
      </w:r>
      <w:r>
        <w:rPr>
          <w:rFonts w:hint="eastAsia"/>
        </w:rPr>
        <w:t>582-2020建筑用墙面涂料中有害物质限量</w:t>
      </w:r>
    </w:p>
    <w:p>
      <w:pPr>
        <w:pStyle w:val="13"/>
        <w:ind w:firstLine="560"/>
      </w:pPr>
      <w:r>
        <w:rPr>
          <w:rFonts w:hint="eastAsia"/>
          <w:lang w:val="de-DE"/>
        </w:rPr>
        <w:t>GB</w:t>
      </w:r>
      <w:r>
        <w:rPr>
          <w:rFonts w:hint="eastAsia"/>
        </w:rPr>
        <w:t>/T</w:t>
      </w:r>
      <w:r>
        <w:rPr>
          <w:rFonts w:hint="eastAsia"/>
          <w:lang w:val="de-DE"/>
        </w:rPr>
        <w:t xml:space="preserve"> </w:t>
      </w:r>
      <w:r>
        <w:rPr>
          <w:rFonts w:hint="eastAsia"/>
        </w:rPr>
        <w:t>9755-2014 合成树脂乳液外墙涂料</w:t>
      </w:r>
    </w:p>
    <w:p>
      <w:pPr>
        <w:pStyle w:val="13"/>
        <w:ind w:firstLine="560"/>
      </w:pPr>
      <w:r>
        <w:t>GB/T</w:t>
      </w:r>
      <w:r>
        <w:rPr>
          <w:rFonts w:hint="eastAsia"/>
        </w:rPr>
        <w:t xml:space="preserve"> </w:t>
      </w:r>
      <w:r>
        <w:t>9265-2009建筑涂料涂层耐碱性的测定</w:t>
      </w:r>
    </w:p>
    <w:p>
      <w:pPr>
        <w:pStyle w:val="13"/>
        <w:ind w:firstLine="560"/>
        <w:rPr>
          <w:lang w:val="de-DE"/>
        </w:rPr>
      </w:pPr>
      <w:r>
        <w:t>GB/T</w:t>
      </w:r>
      <w:r>
        <w:rPr>
          <w:rFonts w:hint="eastAsia"/>
        </w:rPr>
        <w:t xml:space="preserve"> </w:t>
      </w:r>
      <w:r>
        <w:t>9268-2008乳胶漆耐冻融性的测定</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9011D"/>
    <w:rsid w:val="002909E2"/>
    <w:rsid w:val="002B6693"/>
    <w:rsid w:val="00303604"/>
    <w:rsid w:val="00340604"/>
    <w:rsid w:val="00387AD2"/>
    <w:rsid w:val="003C53CB"/>
    <w:rsid w:val="003D3217"/>
    <w:rsid w:val="00407B72"/>
    <w:rsid w:val="00437617"/>
    <w:rsid w:val="004D6675"/>
    <w:rsid w:val="00500AD7"/>
    <w:rsid w:val="005650CE"/>
    <w:rsid w:val="00592615"/>
    <w:rsid w:val="005F151D"/>
    <w:rsid w:val="00616A72"/>
    <w:rsid w:val="006C48D8"/>
    <w:rsid w:val="006E572F"/>
    <w:rsid w:val="006E7995"/>
    <w:rsid w:val="006F5D5A"/>
    <w:rsid w:val="00700718"/>
    <w:rsid w:val="00722EED"/>
    <w:rsid w:val="007634AE"/>
    <w:rsid w:val="00773463"/>
    <w:rsid w:val="00780D3F"/>
    <w:rsid w:val="007A6A71"/>
    <w:rsid w:val="007B373B"/>
    <w:rsid w:val="007E3620"/>
    <w:rsid w:val="007F0C03"/>
    <w:rsid w:val="00814694"/>
    <w:rsid w:val="00825254"/>
    <w:rsid w:val="008475D9"/>
    <w:rsid w:val="00853125"/>
    <w:rsid w:val="00861FD0"/>
    <w:rsid w:val="009164FB"/>
    <w:rsid w:val="00920038"/>
    <w:rsid w:val="00924261"/>
    <w:rsid w:val="00970F12"/>
    <w:rsid w:val="009821A1"/>
    <w:rsid w:val="00992296"/>
    <w:rsid w:val="00A339CC"/>
    <w:rsid w:val="00A75C44"/>
    <w:rsid w:val="00A8533F"/>
    <w:rsid w:val="00A92A16"/>
    <w:rsid w:val="00AC48C3"/>
    <w:rsid w:val="00BC0E27"/>
    <w:rsid w:val="00BC545D"/>
    <w:rsid w:val="00BF77CA"/>
    <w:rsid w:val="00C3423C"/>
    <w:rsid w:val="00D031E9"/>
    <w:rsid w:val="00D12DD2"/>
    <w:rsid w:val="00D13D0D"/>
    <w:rsid w:val="00D262D0"/>
    <w:rsid w:val="00D443A7"/>
    <w:rsid w:val="00D52566"/>
    <w:rsid w:val="00D52A24"/>
    <w:rsid w:val="00D57BF1"/>
    <w:rsid w:val="00DA137F"/>
    <w:rsid w:val="00DA2544"/>
    <w:rsid w:val="00DC4AF0"/>
    <w:rsid w:val="00E22FBC"/>
    <w:rsid w:val="00E306E7"/>
    <w:rsid w:val="00E5645F"/>
    <w:rsid w:val="00EA1AB7"/>
    <w:rsid w:val="00EA6109"/>
    <w:rsid w:val="00EC71EC"/>
    <w:rsid w:val="00F707BB"/>
    <w:rsid w:val="00F963C4"/>
    <w:rsid w:val="00FA389D"/>
    <w:rsid w:val="00FC0616"/>
    <w:rsid w:val="02E24B01"/>
    <w:rsid w:val="041143BA"/>
    <w:rsid w:val="110D775D"/>
    <w:rsid w:val="12DB6025"/>
    <w:rsid w:val="136D40F0"/>
    <w:rsid w:val="162055D1"/>
    <w:rsid w:val="36E707D1"/>
    <w:rsid w:val="51A83450"/>
    <w:rsid w:val="62764516"/>
    <w:rsid w:val="628D12A2"/>
    <w:rsid w:val="7C6C3EE0"/>
    <w:rsid w:val="7FDE124B"/>
    <w:rsid w:val="DDFF89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140</Words>
  <Characters>800</Characters>
  <Lines>6</Lines>
  <Paragraphs>1</Paragraphs>
  <TotalTime>1</TotalTime>
  <ScaleCrop>false</ScaleCrop>
  <LinksUpToDate>false</LinksUpToDate>
  <CharactersWithSpaces>939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2022-04-26T16:55:26Z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DA8D00BFA80F4C1A9248F91F61DD0DAC</vt:lpwstr>
  </property>
</Properties>
</file>