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hint="eastAsia" w:ascii="宋体" w:hAnsi="宋体" w:eastAsia="宋体" w:cs="宋体"/>
          <w:b/>
          <w:bCs/>
          <w:color w:val="000000"/>
          <w:sz w:val="36"/>
          <w:szCs w:val="36"/>
        </w:rPr>
      </w:pPr>
      <w:r>
        <w:rPr>
          <w:rFonts w:hint="eastAsia" w:ascii="宋体" w:hAnsi="宋体" w:eastAsia="宋体" w:cs="宋体"/>
          <w:b/>
          <w:bCs/>
          <w:color w:val="000000"/>
          <w:sz w:val="32"/>
          <w:szCs w:val="32"/>
          <w:lang w:val="en-US" w:eastAsia="zh-CN"/>
        </w:rPr>
        <w:t>202</w:t>
      </w:r>
      <w:r>
        <w:rPr>
          <w:rFonts w:hint="eastAsia" w:ascii="宋体" w:hAnsi="宋体" w:cs="宋体"/>
          <w:b/>
          <w:bCs/>
          <w:color w:val="000000"/>
          <w:sz w:val="32"/>
          <w:szCs w:val="32"/>
          <w:lang w:val="en-US" w:eastAsia="zh-CN"/>
        </w:rPr>
        <w:t>2</w:t>
      </w:r>
      <w:r>
        <w:rPr>
          <w:rFonts w:hint="eastAsia" w:ascii="宋体" w:hAnsi="宋体" w:eastAsia="宋体" w:cs="宋体"/>
          <w:b/>
          <w:bCs/>
          <w:color w:val="000000"/>
          <w:sz w:val="32"/>
          <w:szCs w:val="32"/>
          <w:lang w:val="en-US" w:eastAsia="zh-CN"/>
        </w:rPr>
        <w:t>年</w:t>
      </w:r>
      <w:r>
        <w:rPr>
          <w:rFonts w:hint="eastAsia" w:ascii="宋体" w:hAnsi="宋体" w:cs="宋体"/>
          <w:b/>
          <w:bCs/>
          <w:color w:val="000000"/>
          <w:sz w:val="32"/>
          <w:szCs w:val="32"/>
          <w:lang w:val="en-US" w:eastAsia="zh-CN"/>
        </w:rPr>
        <w:t>鄂尔多斯市电动自行车头盔</w:t>
      </w:r>
      <w:r>
        <w:rPr>
          <w:rFonts w:hint="eastAsia" w:ascii="宋体" w:hAnsi="宋体" w:eastAsia="宋体" w:cs="宋体"/>
          <w:b/>
          <w:bCs/>
          <w:color w:val="000000"/>
          <w:sz w:val="32"/>
          <w:szCs w:val="32"/>
        </w:rPr>
        <w:t>产品质量监督抽查实施细则</w:t>
      </w:r>
    </w:p>
    <w:p>
      <w:pPr>
        <w:adjustRightInd w:val="0"/>
        <w:snapToGrid w:val="0"/>
        <w:spacing w:line="594" w:lineRule="exact"/>
        <w:jc w:val="center"/>
        <w:rPr>
          <w:rFonts w:hint="eastAsia" w:ascii="宋体" w:hAnsi="宋体" w:eastAsia="宋体" w:cs="宋体"/>
          <w:color w:val="000000"/>
          <w:sz w:val="21"/>
          <w:szCs w:val="21"/>
        </w:rPr>
      </w:pPr>
    </w:p>
    <w:p>
      <w:pPr>
        <w:keepNext w:val="0"/>
        <w:keepLines w:val="0"/>
        <w:pageBreakBefore w:val="0"/>
        <w:widowControl w:val="0"/>
        <w:kinsoku/>
        <w:wordWrap/>
        <w:overflowPunct/>
        <w:topLinePunct w:val="0"/>
        <w:autoSpaceDE/>
        <w:autoSpaceDN/>
        <w:bidi w:val="0"/>
        <w:adjustRightInd/>
        <w:snapToGrid w:val="0"/>
        <w:spacing w:line="560" w:lineRule="exact"/>
        <w:textAlignment w:val="auto"/>
        <w:rPr>
          <w:rFonts w:hint="eastAsia" w:ascii="宋体" w:hAnsi="宋体" w:eastAsia="宋体" w:cs="宋体"/>
          <w:b/>
          <w:bCs/>
          <w:color w:val="000000"/>
          <w:sz w:val="21"/>
          <w:szCs w:val="21"/>
        </w:rPr>
      </w:pPr>
      <w:r>
        <w:rPr>
          <w:rFonts w:hint="eastAsia" w:ascii="宋体" w:hAnsi="宋体" w:eastAsia="宋体" w:cs="宋体"/>
          <w:b/>
          <w:bCs/>
          <w:color w:val="000000"/>
          <w:sz w:val="21"/>
          <w:szCs w:val="21"/>
        </w:rPr>
        <w:t>1 抽样方法</w:t>
      </w:r>
    </w:p>
    <w:p>
      <w:pPr>
        <w:keepNext w:val="0"/>
        <w:keepLines w:val="0"/>
        <w:pageBreakBefore w:val="0"/>
        <w:widowControl w:val="0"/>
        <w:kinsoku/>
        <w:wordWrap/>
        <w:overflowPunct/>
        <w:topLinePunct w:val="0"/>
        <w:autoSpaceDE/>
        <w:autoSpaceDN/>
        <w:bidi w:val="0"/>
        <w:adjustRightInd/>
        <w:snapToGrid w:val="0"/>
        <w:spacing w:line="560" w:lineRule="exact"/>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以随机抽样的方式在被抽样生产者、销售者的待销产品中抽取。</w:t>
      </w:r>
    </w:p>
    <w:p>
      <w:pPr>
        <w:keepNext w:val="0"/>
        <w:keepLines w:val="0"/>
        <w:pageBreakBefore w:val="0"/>
        <w:widowControl w:val="0"/>
        <w:kinsoku/>
        <w:wordWrap/>
        <w:overflowPunct/>
        <w:topLinePunct w:val="0"/>
        <w:autoSpaceDE/>
        <w:autoSpaceDN/>
        <w:bidi w:val="0"/>
        <w:adjustRightInd/>
        <w:snapToGrid w:val="0"/>
        <w:spacing w:line="560" w:lineRule="exact"/>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随机数一般可使用随机数表等方法产生。</w:t>
      </w:r>
      <w:bookmarkStart w:id="1" w:name="_GoBack"/>
      <w:bookmarkEnd w:id="1"/>
    </w:p>
    <w:p>
      <w:pPr>
        <w:keepNext w:val="0"/>
        <w:keepLines w:val="0"/>
        <w:pageBreakBefore w:val="0"/>
        <w:widowControl w:val="0"/>
        <w:kinsoku/>
        <w:wordWrap/>
        <w:overflowPunct/>
        <w:topLinePunct w:val="0"/>
        <w:autoSpaceDE/>
        <w:autoSpaceDN/>
        <w:bidi w:val="0"/>
        <w:adjustRightInd/>
        <w:snapToGrid w:val="0"/>
        <w:spacing w:line="560" w:lineRule="exact"/>
        <w:ind w:firstLine="420" w:firstLineChars="200"/>
        <w:textAlignment w:val="auto"/>
        <w:rPr>
          <w:rFonts w:hint="eastAsia" w:ascii="宋体" w:hAnsi="宋体" w:eastAsia="宋体" w:cs="宋体"/>
          <w:color w:val="000000"/>
          <w:sz w:val="21"/>
          <w:szCs w:val="21"/>
          <w:lang w:val="en-US" w:eastAsia="zh-CN"/>
        </w:rPr>
      </w:pPr>
      <w:r>
        <w:rPr>
          <w:rFonts w:hint="eastAsia" w:ascii="宋体" w:hAnsi="宋体" w:eastAsia="宋体" w:cs="宋体"/>
          <w:color w:val="auto"/>
          <w:sz w:val="21"/>
          <w:szCs w:val="21"/>
        </w:rPr>
        <w:t>每批次产品抽取样品</w:t>
      </w:r>
      <w:r>
        <w:rPr>
          <w:rFonts w:hint="eastAsia" w:ascii="宋体" w:hAnsi="宋体" w:cs="宋体"/>
          <w:color w:val="auto"/>
          <w:sz w:val="21"/>
          <w:szCs w:val="21"/>
          <w:lang w:val="en-US" w:eastAsia="zh-CN"/>
        </w:rPr>
        <w:t>4顶</w:t>
      </w:r>
      <w:r>
        <w:rPr>
          <w:rFonts w:hint="eastAsia" w:ascii="宋体" w:hAnsi="宋体" w:eastAsia="宋体" w:cs="宋体"/>
          <w:color w:val="auto"/>
          <w:sz w:val="21"/>
          <w:szCs w:val="21"/>
          <w:lang w:val="en-US" w:eastAsia="zh-CN"/>
        </w:rPr>
        <w:t>，其中</w:t>
      </w:r>
      <w:r>
        <w:rPr>
          <w:rFonts w:hint="eastAsia" w:ascii="宋体" w:hAnsi="宋体" w:cs="宋体"/>
          <w:color w:val="auto"/>
          <w:sz w:val="21"/>
          <w:szCs w:val="21"/>
          <w:lang w:val="en-US" w:eastAsia="zh-CN"/>
        </w:rPr>
        <w:t>2顶</w:t>
      </w:r>
      <w:r>
        <w:rPr>
          <w:rFonts w:hint="eastAsia" w:ascii="宋体" w:hAnsi="宋体" w:eastAsia="宋体" w:cs="宋体"/>
          <w:color w:val="auto"/>
          <w:sz w:val="21"/>
          <w:szCs w:val="21"/>
          <w:lang w:val="en-US" w:eastAsia="zh-CN"/>
        </w:rPr>
        <w:t>作为检验样品，另2</w:t>
      </w:r>
      <w:r>
        <w:rPr>
          <w:rFonts w:hint="eastAsia" w:ascii="宋体" w:hAnsi="宋体" w:cs="宋体"/>
          <w:color w:val="auto"/>
          <w:sz w:val="21"/>
          <w:szCs w:val="21"/>
          <w:lang w:val="en-US" w:eastAsia="zh-CN"/>
        </w:rPr>
        <w:t>顶</w:t>
      </w:r>
      <w:r>
        <w:rPr>
          <w:rFonts w:hint="eastAsia" w:ascii="宋体" w:hAnsi="宋体" w:eastAsia="宋体" w:cs="宋体"/>
          <w:color w:val="auto"/>
          <w:sz w:val="21"/>
          <w:szCs w:val="21"/>
          <w:lang w:val="en-US" w:eastAsia="zh-CN"/>
        </w:rPr>
        <w:t>作为备用样</w:t>
      </w:r>
      <w:r>
        <w:rPr>
          <w:rFonts w:hint="eastAsia" w:ascii="宋体" w:hAnsi="宋体" w:eastAsia="宋体" w:cs="宋体"/>
          <w:color w:val="000000"/>
          <w:sz w:val="21"/>
          <w:szCs w:val="21"/>
          <w:lang w:val="en-US" w:eastAsia="zh-CN"/>
        </w:rPr>
        <w:t>品。</w:t>
      </w:r>
    </w:p>
    <w:p>
      <w:pPr>
        <w:keepNext w:val="0"/>
        <w:keepLines w:val="0"/>
        <w:pageBreakBefore w:val="0"/>
        <w:widowControl w:val="0"/>
        <w:kinsoku/>
        <w:wordWrap/>
        <w:overflowPunct/>
        <w:topLinePunct w:val="0"/>
        <w:autoSpaceDE/>
        <w:autoSpaceDN/>
        <w:bidi w:val="0"/>
        <w:adjustRightInd/>
        <w:snapToGrid w:val="0"/>
        <w:spacing w:line="560" w:lineRule="exact"/>
        <w:textAlignment w:val="auto"/>
        <w:rPr>
          <w:rFonts w:hint="eastAsia"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rPr>
        <w:t>2 检验依据</w:t>
      </w:r>
    </w:p>
    <w:p>
      <w:pPr>
        <w:keepNext w:val="0"/>
        <w:keepLines w:val="0"/>
        <w:pageBreakBefore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rPr>
        <w:t>表</w:t>
      </w:r>
      <w:r>
        <w:rPr>
          <w:rFonts w:hint="eastAsia" w:ascii="宋体" w:hAnsi="宋体" w:cs="宋体"/>
          <w:color w:val="000000"/>
          <w:sz w:val="21"/>
          <w:szCs w:val="21"/>
          <w:highlight w:val="none"/>
          <w:lang w:val="en-US" w:eastAsia="zh-CN"/>
        </w:rPr>
        <w:t>1</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kern w:val="0"/>
          <w:sz w:val="21"/>
          <w:szCs w:val="21"/>
          <w:lang w:val="en-US" w:eastAsia="zh-CN" w:bidi="ar-SA"/>
        </w:rPr>
        <w:t>电动自行车头盔</w:t>
      </w:r>
      <w:r>
        <w:rPr>
          <w:rFonts w:hint="eastAsia" w:ascii="宋体" w:hAnsi="宋体" w:eastAsia="宋体" w:cs="宋体"/>
          <w:color w:val="000000"/>
          <w:sz w:val="21"/>
          <w:szCs w:val="21"/>
          <w:highlight w:val="none"/>
          <w:lang w:eastAsia="zh-CN"/>
        </w:rPr>
        <w:t>检验项目</w:t>
      </w:r>
    </w:p>
    <w:tbl>
      <w:tblPr>
        <w:tblStyle w:val="6"/>
        <w:tblW w:w="79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6"/>
        <w:gridCol w:w="2352"/>
        <w:gridCol w:w="2104"/>
        <w:gridCol w:w="25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blHeader/>
          <w:jc w:val="center"/>
        </w:trPr>
        <w:tc>
          <w:tcPr>
            <w:tcW w:w="986" w:type="dxa"/>
            <w:vAlign w:val="center"/>
          </w:tcPr>
          <w:p>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序号</w:t>
            </w:r>
          </w:p>
        </w:tc>
        <w:tc>
          <w:tcPr>
            <w:tcW w:w="2352" w:type="dxa"/>
            <w:vAlign w:val="center"/>
          </w:tcPr>
          <w:p>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检验项目</w:t>
            </w:r>
          </w:p>
        </w:tc>
        <w:tc>
          <w:tcPr>
            <w:tcW w:w="2104" w:type="dxa"/>
            <w:vAlign w:val="center"/>
          </w:tcPr>
          <w:p>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执行标准</w:t>
            </w:r>
          </w:p>
        </w:tc>
        <w:tc>
          <w:tcPr>
            <w:tcW w:w="2533" w:type="dxa"/>
            <w:vAlign w:val="center"/>
          </w:tcPr>
          <w:p>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6" w:type="dxa"/>
            <w:vAlign w:val="center"/>
          </w:tcPr>
          <w:p>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w:t>
            </w:r>
          </w:p>
        </w:tc>
        <w:tc>
          <w:tcPr>
            <w:tcW w:w="2352" w:type="dxa"/>
            <w:vAlign w:val="center"/>
          </w:tcPr>
          <w:p>
            <w:pPr>
              <w:keepNext w:val="0"/>
              <w:keepLines w:val="0"/>
              <w:pageBreakBefore w:val="0"/>
              <w:widowControl/>
              <w:suppressLineNumbers w:val="0"/>
              <w:kinsoku/>
              <w:wordWrap/>
              <w:overflowPunct/>
              <w:topLinePunct w:val="0"/>
              <w:autoSpaceDE/>
              <w:autoSpaceDN/>
              <w:bidi w:val="0"/>
              <w:spacing w:line="440" w:lineRule="exact"/>
              <w:jc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val="en-US" w:eastAsia="zh-CN" w:bidi="ar"/>
              </w:rPr>
              <w:t>壳体</w:t>
            </w:r>
          </w:p>
        </w:tc>
        <w:tc>
          <w:tcPr>
            <w:tcW w:w="2104" w:type="dxa"/>
            <w:vMerge w:val="restart"/>
            <w:vAlign w:val="center"/>
          </w:tcPr>
          <w:p>
            <w:pPr>
              <w:keepNext w:val="0"/>
              <w:keepLines w:val="0"/>
              <w:pageBreakBefore w:val="0"/>
              <w:widowControl/>
              <w:suppressLineNumbers w:val="0"/>
              <w:kinsoku/>
              <w:wordWrap/>
              <w:overflowPunct/>
              <w:topLinePunct w:val="0"/>
              <w:autoSpaceDE/>
              <w:autoSpaceDN/>
              <w:bidi w:val="0"/>
              <w:spacing w:line="440" w:lineRule="exact"/>
              <w:jc w:val="center"/>
              <w:textAlignment w:val="center"/>
              <w:rPr>
                <w:rFonts w:hint="eastAsia" w:ascii="宋体" w:hAnsi="宋体" w:eastAsia="宋体" w:cs="宋体"/>
                <w:kern w:val="2"/>
                <w:sz w:val="21"/>
                <w:szCs w:val="21"/>
                <w:highlight w:val="none"/>
                <w:lang w:val="en-US" w:eastAsia="zh-CN" w:bidi="ar-SA"/>
              </w:rPr>
            </w:pPr>
            <w:r>
              <w:rPr>
                <w:rFonts w:hint="eastAsia" w:ascii="宋体" w:hAnsi="宋体" w:eastAsia="宋体" w:cs="宋体"/>
                <w:i w:val="0"/>
                <w:color w:val="000000"/>
                <w:kern w:val="0"/>
                <w:sz w:val="21"/>
                <w:szCs w:val="21"/>
                <w:highlight w:val="none"/>
                <w:u w:val="none"/>
                <w:lang w:val="en-US" w:eastAsia="zh-CN" w:bidi="ar"/>
              </w:rPr>
              <w:t>GB 24429-2009</w:t>
            </w:r>
          </w:p>
          <w:p>
            <w:pPr>
              <w:keepNext w:val="0"/>
              <w:keepLines w:val="0"/>
              <w:pageBreakBefore w:val="0"/>
              <w:widowControl/>
              <w:suppressLineNumbers w:val="0"/>
              <w:kinsoku/>
              <w:wordWrap/>
              <w:overflowPunct/>
              <w:topLinePunct w:val="0"/>
              <w:autoSpaceDE/>
              <w:autoSpaceDN/>
              <w:bidi w:val="0"/>
              <w:spacing w:line="440" w:lineRule="exact"/>
              <w:jc w:val="center"/>
              <w:textAlignment w:val="center"/>
              <w:rPr>
                <w:rFonts w:hint="eastAsia" w:ascii="宋体" w:hAnsi="宋体" w:eastAsia="宋体" w:cs="宋体"/>
                <w:sz w:val="21"/>
                <w:szCs w:val="21"/>
                <w:highlight w:val="none"/>
              </w:rPr>
            </w:pPr>
          </w:p>
        </w:tc>
        <w:tc>
          <w:tcPr>
            <w:tcW w:w="2533" w:type="dxa"/>
            <w:vAlign w:val="center"/>
          </w:tcPr>
          <w:p>
            <w:pPr>
              <w:keepNext w:val="0"/>
              <w:keepLines w:val="0"/>
              <w:pageBreakBefore w:val="0"/>
              <w:widowControl/>
              <w:suppressLineNumbers w:val="0"/>
              <w:kinsoku/>
              <w:wordWrap/>
              <w:overflowPunct/>
              <w:topLinePunct w:val="0"/>
              <w:autoSpaceDE/>
              <w:autoSpaceDN/>
              <w:bidi w:val="0"/>
              <w:spacing w:line="440" w:lineRule="exact"/>
              <w:jc w:val="center"/>
              <w:textAlignment w:val="center"/>
              <w:rPr>
                <w:rFonts w:hint="eastAsia" w:ascii="宋体" w:hAnsi="宋体" w:eastAsia="宋体" w:cs="宋体"/>
                <w:kern w:val="2"/>
                <w:sz w:val="21"/>
                <w:szCs w:val="21"/>
                <w:highlight w:val="none"/>
                <w:lang w:val="en-US" w:eastAsia="zh-CN" w:bidi="ar-SA"/>
              </w:rPr>
            </w:pPr>
            <w:r>
              <w:rPr>
                <w:rFonts w:hint="eastAsia" w:ascii="宋体" w:hAnsi="宋体" w:eastAsia="宋体" w:cs="宋体"/>
                <w:i w:val="0"/>
                <w:color w:val="000000"/>
                <w:kern w:val="0"/>
                <w:sz w:val="21"/>
                <w:szCs w:val="21"/>
                <w:highlight w:val="none"/>
                <w:u w:val="none"/>
                <w:lang w:val="en-US" w:eastAsia="zh-CN" w:bidi="ar"/>
              </w:rPr>
              <w:t>GB 24429-2009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6" w:type="dxa"/>
            <w:vAlign w:val="center"/>
          </w:tcPr>
          <w:p>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w:t>
            </w:r>
          </w:p>
        </w:tc>
        <w:tc>
          <w:tcPr>
            <w:tcW w:w="2352" w:type="dxa"/>
            <w:vAlign w:val="center"/>
          </w:tcPr>
          <w:p>
            <w:pPr>
              <w:keepNext w:val="0"/>
              <w:keepLines w:val="0"/>
              <w:pageBreakBefore w:val="0"/>
              <w:widowControl/>
              <w:suppressLineNumbers w:val="0"/>
              <w:kinsoku/>
              <w:wordWrap/>
              <w:overflowPunct/>
              <w:topLinePunct w:val="0"/>
              <w:autoSpaceDE/>
              <w:autoSpaceDN/>
              <w:bidi w:val="0"/>
              <w:spacing w:line="440" w:lineRule="exact"/>
              <w:jc w:val="center"/>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val="en-US" w:eastAsia="zh-CN" w:bidi="ar"/>
              </w:rPr>
              <w:t>缓冲层</w:t>
            </w:r>
          </w:p>
        </w:tc>
        <w:tc>
          <w:tcPr>
            <w:tcW w:w="2104" w:type="dxa"/>
            <w:vMerge w:val="continue"/>
            <w:vAlign w:val="center"/>
          </w:tcPr>
          <w:p>
            <w:pPr>
              <w:keepNext w:val="0"/>
              <w:keepLines w:val="0"/>
              <w:pageBreakBefore w:val="0"/>
              <w:kinsoku/>
              <w:wordWrap/>
              <w:overflowPunct/>
              <w:topLinePunct w:val="0"/>
              <w:autoSpaceDE/>
              <w:autoSpaceDN/>
              <w:bidi w:val="0"/>
              <w:spacing w:line="440" w:lineRule="exact"/>
              <w:jc w:val="center"/>
              <w:rPr>
                <w:rFonts w:hint="eastAsia" w:ascii="宋体" w:hAnsi="宋体" w:eastAsia="宋体" w:cs="宋体"/>
                <w:sz w:val="21"/>
                <w:szCs w:val="21"/>
                <w:highlight w:val="none"/>
              </w:rPr>
            </w:pPr>
          </w:p>
        </w:tc>
        <w:tc>
          <w:tcPr>
            <w:tcW w:w="2533" w:type="dxa"/>
            <w:vAlign w:val="center"/>
          </w:tcPr>
          <w:p>
            <w:pPr>
              <w:keepNext w:val="0"/>
              <w:keepLines w:val="0"/>
              <w:pageBreakBefore w:val="0"/>
              <w:widowControl/>
              <w:suppressLineNumbers w:val="0"/>
              <w:kinsoku/>
              <w:wordWrap/>
              <w:overflowPunct/>
              <w:topLinePunct w:val="0"/>
              <w:autoSpaceDE/>
              <w:autoSpaceDN/>
              <w:bidi w:val="0"/>
              <w:spacing w:line="440" w:lineRule="exact"/>
              <w:jc w:val="center"/>
              <w:textAlignment w:val="center"/>
              <w:rPr>
                <w:rFonts w:hint="eastAsia" w:ascii="宋体" w:hAnsi="宋体" w:eastAsia="宋体" w:cs="宋体"/>
                <w:kern w:val="2"/>
                <w:sz w:val="21"/>
                <w:szCs w:val="21"/>
                <w:highlight w:val="none"/>
                <w:lang w:val="en-US" w:eastAsia="zh-CN" w:bidi="ar-SA"/>
              </w:rPr>
            </w:pPr>
            <w:r>
              <w:rPr>
                <w:rFonts w:hint="eastAsia" w:ascii="宋体" w:hAnsi="宋体" w:eastAsia="宋体" w:cs="宋体"/>
                <w:i w:val="0"/>
                <w:color w:val="000000"/>
                <w:kern w:val="0"/>
                <w:sz w:val="21"/>
                <w:szCs w:val="21"/>
                <w:highlight w:val="none"/>
                <w:u w:val="none"/>
                <w:lang w:val="en-US" w:eastAsia="zh-CN" w:bidi="ar"/>
              </w:rPr>
              <w:t>GB 24429-2009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6" w:type="dxa"/>
            <w:vAlign w:val="center"/>
          </w:tcPr>
          <w:p>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w:t>
            </w:r>
          </w:p>
        </w:tc>
        <w:tc>
          <w:tcPr>
            <w:tcW w:w="2352" w:type="dxa"/>
            <w:vAlign w:val="center"/>
          </w:tcPr>
          <w:p>
            <w:pPr>
              <w:keepNext w:val="0"/>
              <w:keepLines w:val="0"/>
              <w:pageBreakBefore w:val="0"/>
              <w:widowControl/>
              <w:suppressLineNumbers w:val="0"/>
              <w:kinsoku/>
              <w:wordWrap/>
              <w:overflowPunct/>
              <w:topLinePunct w:val="0"/>
              <w:autoSpaceDE/>
              <w:autoSpaceDN/>
              <w:bidi w:val="0"/>
              <w:spacing w:line="440" w:lineRule="exact"/>
              <w:jc w:val="center"/>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val="en-US" w:eastAsia="zh-CN" w:bidi="ar"/>
              </w:rPr>
              <w:t>舒适衬垫</w:t>
            </w:r>
          </w:p>
        </w:tc>
        <w:tc>
          <w:tcPr>
            <w:tcW w:w="2104" w:type="dxa"/>
            <w:vMerge w:val="continue"/>
            <w:vAlign w:val="center"/>
          </w:tcPr>
          <w:p>
            <w:pPr>
              <w:keepNext w:val="0"/>
              <w:keepLines w:val="0"/>
              <w:pageBreakBefore w:val="0"/>
              <w:kinsoku/>
              <w:wordWrap/>
              <w:overflowPunct/>
              <w:topLinePunct w:val="0"/>
              <w:autoSpaceDE/>
              <w:autoSpaceDN/>
              <w:bidi w:val="0"/>
              <w:spacing w:line="440" w:lineRule="exact"/>
              <w:jc w:val="center"/>
              <w:rPr>
                <w:rFonts w:hint="eastAsia" w:ascii="宋体" w:hAnsi="宋体" w:eastAsia="宋体" w:cs="宋体"/>
                <w:sz w:val="21"/>
                <w:szCs w:val="21"/>
                <w:highlight w:val="none"/>
              </w:rPr>
            </w:pPr>
          </w:p>
        </w:tc>
        <w:tc>
          <w:tcPr>
            <w:tcW w:w="2533" w:type="dxa"/>
            <w:vAlign w:val="center"/>
          </w:tcPr>
          <w:p>
            <w:pPr>
              <w:keepNext w:val="0"/>
              <w:keepLines w:val="0"/>
              <w:pageBreakBefore w:val="0"/>
              <w:widowControl/>
              <w:suppressLineNumbers w:val="0"/>
              <w:kinsoku/>
              <w:wordWrap/>
              <w:overflowPunct/>
              <w:topLinePunct w:val="0"/>
              <w:autoSpaceDE/>
              <w:autoSpaceDN/>
              <w:bidi w:val="0"/>
              <w:spacing w:line="440" w:lineRule="exact"/>
              <w:jc w:val="center"/>
              <w:textAlignment w:val="center"/>
              <w:rPr>
                <w:rFonts w:hint="eastAsia" w:ascii="宋体" w:hAnsi="宋体" w:eastAsia="宋体" w:cs="宋体"/>
                <w:kern w:val="2"/>
                <w:sz w:val="21"/>
                <w:szCs w:val="21"/>
                <w:highlight w:val="none"/>
                <w:lang w:val="en-US" w:eastAsia="zh-CN" w:bidi="ar-SA"/>
              </w:rPr>
            </w:pPr>
            <w:r>
              <w:rPr>
                <w:rFonts w:hint="eastAsia" w:ascii="宋体" w:hAnsi="宋体" w:eastAsia="宋体" w:cs="宋体"/>
                <w:i w:val="0"/>
                <w:color w:val="000000"/>
                <w:kern w:val="0"/>
                <w:sz w:val="21"/>
                <w:szCs w:val="21"/>
                <w:highlight w:val="none"/>
                <w:u w:val="none"/>
                <w:lang w:val="en-US" w:eastAsia="zh-CN" w:bidi="ar"/>
              </w:rPr>
              <w:t>GB 24429-2009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6" w:type="dxa"/>
            <w:vAlign w:val="center"/>
          </w:tcPr>
          <w:p>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w:t>
            </w:r>
          </w:p>
        </w:tc>
        <w:tc>
          <w:tcPr>
            <w:tcW w:w="2352" w:type="dxa"/>
            <w:vAlign w:val="center"/>
          </w:tcPr>
          <w:p>
            <w:pPr>
              <w:keepNext w:val="0"/>
              <w:keepLines w:val="0"/>
              <w:pageBreakBefore w:val="0"/>
              <w:widowControl/>
              <w:suppressLineNumbers w:val="0"/>
              <w:kinsoku/>
              <w:wordWrap/>
              <w:overflowPunct/>
              <w:topLinePunct w:val="0"/>
              <w:autoSpaceDE/>
              <w:autoSpaceDN/>
              <w:bidi w:val="0"/>
              <w:spacing w:line="440" w:lineRule="exact"/>
              <w:jc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val="en-US" w:eastAsia="zh-CN" w:bidi="ar"/>
              </w:rPr>
              <w:t>佩戴装置</w:t>
            </w:r>
          </w:p>
        </w:tc>
        <w:tc>
          <w:tcPr>
            <w:tcW w:w="2104" w:type="dxa"/>
            <w:vMerge w:val="continue"/>
            <w:vAlign w:val="center"/>
          </w:tcPr>
          <w:p>
            <w:pPr>
              <w:keepNext w:val="0"/>
              <w:keepLines w:val="0"/>
              <w:pageBreakBefore w:val="0"/>
              <w:kinsoku/>
              <w:wordWrap/>
              <w:overflowPunct/>
              <w:topLinePunct w:val="0"/>
              <w:autoSpaceDE/>
              <w:autoSpaceDN/>
              <w:bidi w:val="0"/>
              <w:spacing w:line="440" w:lineRule="exact"/>
              <w:jc w:val="center"/>
              <w:rPr>
                <w:rFonts w:hint="eastAsia" w:ascii="宋体" w:hAnsi="宋体" w:eastAsia="宋体" w:cs="宋体"/>
                <w:sz w:val="21"/>
                <w:szCs w:val="21"/>
                <w:highlight w:val="none"/>
              </w:rPr>
            </w:pPr>
          </w:p>
        </w:tc>
        <w:tc>
          <w:tcPr>
            <w:tcW w:w="2533" w:type="dxa"/>
            <w:vAlign w:val="center"/>
          </w:tcPr>
          <w:p>
            <w:pPr>
              <w:keepNext w:val="0"/>
              <w:keepLines w:val="0"/>
              <w:pageBreakBefore w:val="0"/>
              <w:widowControl/>
              <w:suppressLineNumbers w:val="0"/>
              <w:kinsoku/>
              <w:wordWrap/>
              <w:overflowPunct/>
              <w:topLinePunct w:val="0"/>
              <w:autoSpaceDE/>
              <w:autoSpaceDN/>
              <w:bidi w:val="0"/>
              <w:spacing w:line="440" w:lineRule="exact"/>
              <w:jc w:val="center"/>
              <w:textAlignment w:val="center"/>
              <w:rPr>
                <w:rFonts w:hint="eastAsia" w:ascii="宋体" w:hAnsi="宋体" w:eastAsia="宋体" w:cs="宋体"/>
                <w:kern w:val="2"/>
                <w:sz w:val="21"/>
                <w:szCs w:val="21"/>
                <w:highlight w:val="none"/>
                <w:lang w:val="en-US" w:eastAsia="zh-CN" w:bidi="ar-SA"/>
              </w:rPr>
            </w:pPr>
            <w:r>
              <w:rPr>
                <w:rFonts w:hint="eastAsia" w:ascii="宋体" w:hAnsi="宋体" w:eastAsia="宋体" w:cs="宋体"/>
                <w:i w:val="0"/>
                <w:color w:val="000000"/>
                <w:kern w:val="0"/>
                <w:sz w:val="21"/>
                <w:szCs w:val="21"/>
                <w:highlight w:val="none"/>
                <w:u w:val="none"/>
                <w:lang w:val="en-US" w:eastAsia="zh-CN" w:bidi="ar"/>
              </w:rPr>
              <w:t>GB 24429-2009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6" w:type="dxa"/>
            <w:vAlign w:val="center"/>
          </w:tcPr>
          <w:p>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宋体" w:hAnsi="宋体" w:eastAsia="宋体" w:cs="宋体"/>
                <w:sz w:val="21"/>
                <w:szCs w:val="21"/>
                <w:highlight w:val="none"/>
                <w:lang w:eastAsia="zh-CN"/>
              </w:rPr>
            </w:pPr>
            <w:r>
              <w:rPr>
                <w:rFonts w:hint="eastAsia" w:ascii="宋体" w:hAnsi="宋体" w:cs="宋体"/>
                <w:sz w:val="21"/>
                <w:szCs w:val="21"/>
                <w:highlight w:val="none"/>
                <w:lang w:val="en-US" w:eastAsia="zh-CN"/>
              </w:rPr>
              <w:t>5</w:t>
            </w:r>
          </w:p>
        </w:tc>
        <w:tc>
          <w:tcPr>
            <w:tcW w:w="2352" w:type="dxa"/>
            <w:vAlign w:val="center"/>
          </w:tcPr>
          <w:p>
            <w:pPr>
              <w:keepNext w:val="0"/>
              <w:keepLines w:val="0"/>
              <w:pageBreakBefore w:val="0"/>
              <w:widowControl/>
              <w:suppressLineNumbers w:val="0"/>
              <w:kinsoku/>
              <w:wordWrap/>
              <w:overflowPunct/>
              <w:topLinePunct w:val="0"/>
              <w:autoSpaceDE/>
              <w:autoSpaceDN/>
              <w:bidi w:val="0"/>
              <w:spacing w:line="440" w:lineRule="exact"/>
              <w:jc w:val="center"/>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val="en-US" w:eastAsia="zh-CN" w:bidi="ar"/>
              </w:rPr>
              <w:t>头盔质量</w:t>
            </w:r>
          </w:p>
        </w:tc>
        <w:tc>
          <w:tcPr>
            <w:tcW w:w="2104" w:type="dxa"/>
            <w:vMerge w:val="continue"/>
            <w:vAlign w:val="center"/>
          </w:tcPr>
          <w:p>
            <w:pPr>
              <w:keepNext w:val="0"/>
              <w:keepLines w:val="0"/>
              <w:pageBreakBefore w:val="0"/>
              <w:kinsoku/>
              <w:wordWrap/>
              <w:overflowPunct/>
              <w:topLinePunct w:val="0"/>
              <w:autoSpaceDE/>
              <w:autoSpaceDN/>
              <w:bidi w:val="0"/>
              <w:spacing w:line="440" w:lineRule="exact"/>
              <w:jc w:val="center"/>
              <w:rPr>
                <w:rFonts w:hint="eastAsia" w:ascii="宋体" w:hAnsi="宋体" w:eastAsia="宋体" w:cs="宋体"/>
                <w:sz w:val="21"/>
                <w:szCs w:val="21"/>
                <w:highlight w:val="none"/>
              </w:rPr>
            </w:pPr>
          </w:p>
        </w:tc>
        <w:tc>
          <w:tcPr>
            <w:tcW w:w="2533" w:type="dxa"/>
            <w:vAlign w:val="center"/>
          </w:tcPr>
          <w:p>
            <w:pPr>
              <w:keepNext w:val="0"/>
              <w:keepLines w:val="0"/>
              <w:pageBreakBefore w:val="0"/>
              <w:widowControl/>
              <w:suppressLineNumbers w:val="0"/>
              <w:kinsoku/>
              <w:wordWrap/>
              <w:overflowPunct/>
              <w:topLinePunct w:val="0"/>
              <w:autoSpaceDE/>
              <w:autoSpaceDN/>
              <w:bidi w:val="0"/>
              <w:spacing w:line="440" w:lineRule="exact"/>
              <w:jc w:val="center"/>
              <w:textAlignment w:val="center"/>
              <w:rPr>
                <w:rFonts w:hint="eastAsia" w:ascii="宋体" w:hAnsi="宋体" w:eastAsia="宋体" w:cs="宋体"/>
                <w:kern w:val="2"/>
                <w:sz w:val="21"/>
                <w:szCs w:val="21"/>
                <w:highlight w:val="none"/>
                <w:lang w:val="en-US" w:eastAsia="zh-CN" w:bidi="ar-SA"/>
              </w:rPr>
            </w:pPr>
            <w:r>
              <w:rPr>
                <w:rFonts w:hint="eastAsia" w:ascii="宋体" w:hAnsi="宋体" w:eastAsia="宋体" w:cs="宋体"/>
                <w:i w:val="0"/>
                <w:color w:val="000000"/>
                <w:kern w:val="0"/>
                <w:sz w:val="21"/>
                <w:szCs w:val="21"/>
                <w:highlight w:val="none"/>
                <w:u w:val="none"/>
                <w:lang w:val="en-US" w:eastAsia="zh-CN" w:bidi="ar"/>
              </w:rPr>
              <w:t>GB 24429-2009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6" w:type="dxa"/>
            <w:vAlign w:val="center"/>
          </w:tcPr>
          <w:p>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宋体" w:hAnsi="宋体" w:eastAsia="宋体" w:cs="宋体"/>
                <w:sz w:val="21"/>
                <w:szCs w:val="21"/>
                <w:highlight w:val="none"/>
                <w:lang w:val="en-US" w:eastAsia="zh-CN"/>
              </w:rPr>
            </w:pPr>
            <w:r>
              <w:rPr>
                <w:rFonts w:hint="eastAsia" w:ascii="宋体" w:hAnsi="宋体" w:cs="宋体"/>
                <w:sz w:val="21"/>
                <w:szCs w:val="21"/>
                <w:highlight w:val="none"/>
                <w:lang w:val="en-US" w:eastAsia="zh-CN"/>
              </w:rPr>
              <w:t>6</w:t>
            </w:r>
          </w:p>
        </w:tc>
        <w:tc>
          <w:tcPr>
            <w:tcW w:w="2352" w:type="dxa"/>
            <w:vAlign w:val="center"/>
          </w:tcPr>
          <w:p>
            <w:pPr>
              <w:keepNext w:val="0"/>
              <w:keepLines w:val="0"/>
              <w:pageBreakBefore w:val="0"/>
              <w:widowControl/>
              <w:suppressLineNumbers w:val="0"/>
              <w:kinsoku/>
              <w:wordWrap/>
              <w:overflowPunct/>
              <w:topLinePunct w:val="0"/>
              <w:autoSpaceDE/>
              <w:autoSpaceDN/>
              <w:bidi w:val="0"/>
              <w:spacing w:line="440" w:lineRule="exact"/>
              <w:jc w:val="center"/>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val="en-US" w:eastAsia="zh-CN" w:bidi="ar"/>
              </w:rPr>
              <w:t>头盔佩戴装置强度性能</w:t>
            </w:r>
          </w:p>
        </w:tc>
        <w:tc>
          <w:tcPr>
            <w:tcW w:w="2104" w:type="dxa"/>
            <w:vMerge w:val="continue"/>
            <w:vAlign w:val="center"/>
          </w:tcPr>
          <w:p>
            <w:pPr>
              <w:keepNext w:val="0"/>
              <w:keepLines w:val="0"/>
              <w:pageBreakBefore w:val="0"/>
              <w:kinsoku/>
              <w:wordWrap/>
              <w:overflowPunct/>
              <w:topLinePunct w:val="0"/>
              <w:autoSpaceDE/>
              <w:autoSpaceDN/>
              <w:bidi w:val="0"/>
              <w:spacing w:line="440" w:lineRule="exact"/>
              <w:jc w:val="center"/>
              <w:rPr>
                <w:rFonts w:hint="eastAsia" w:ascii="宋体" w:hAnsi="宋体" w:eastAsia="宋体" w:cs="宋体"/>
                <w:sz w:val="21"/>
                <w:szCs w:val="21"/>
                <w:highlight w:val="none"/>
              </w:rPr>
            </w:pPr>
          </w:p>
        </w:tc>
        <w:tc>
          <w:tcPr>
            <w:tcW w:w="2533" w:type="dxa"/>
            <w:vAlign w:val="center"/>
          </w:tcPr>
          <w:p>
            <w:pPr>
              <w:keepNext w:val="0"/>
              <w:keepLines w:val="0"/>
              <w:pageBreakBefore w:val="0"/>
              <w:widowControl/>
              <w:suppressLineNumbers w:val="0"/>
              <w:kinsoku/>
              <w:wordWrap/>
              <w:overflowPunct/>
              <w:topLinePunct w:val="0"/>
              <w:autoSpaceDE/>
              <w:autoSpaceDN/>
              <w:bidi w:val="0"/>
              <w:spacing w:line="440" w:lineRule="exact"/>
              <w:jc w:val="center"/>
              <w:textAlignment w:val="center"/>
              <w:rPr>
                <w:rFonts w:hint="eastAsia" w:ascii="宋体" w:hAnsi="宋体" w:eastAsia="宋体" w:cs="宋体"/>
                <w:kern w:val="2"/>
                <w:sz w:val="21"/>
                <w:szCs w:val="21"/>
                <w:highlight w:val="none"/>
                <w:lang w:val="en-US" w:eastAsia="zh-CN" w:bidi="ar-SA"/>
              </w:rPr>
            </w:pPr>
            <w:r>
              <w:rPr>
                <w:rFonts w:hint="eastAsia" w:ascii="宋体" w:hAnsi="宋体" w:eastAsia="宋体" w:cs="宋体"/>
                <w:i w:val="0"/>
                <w:color w:val="000000"/>
                <w:kern w:val="0"/>
                <w:sz w:val="21"/>
                <w:szCs w:val="21"/>
                <w:highlight w:val="none"/>
                <w:u w:val="none"/>
                <w:lang w:val="en-US" w:eastAsia="zh-CN" w:bidi="ar"/>
              </w:rPr>
              <w:t>GB 24429-2009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6" w:type="dxa"/>
            <w:vAlign w:val="center"/>
          </w:tcPr>
          <w:p>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hint="eastAsia" w:ascii="宋体" w:hAnsi="宋体" w:eastAsia="宋体" w:cs="宋体"/>
                <w:sz w:val="21"/>
                <w:szCs w:val="21"/>
                <w:highlight w:val="none"/>
                <w:lang w:val="en-US" w:eastAsia="zh-CN"/>
              </w:rPr>
            </w:pPr>
            <w:r>
              <w:rPr>
                <w:rFonts w:hint="eastAsia" w:ascii="宋体" w:hAnsi="宋体" w:cs="宋体"/>
                <w:sz w:val="21"/>
                <w:szCs w:val="21"/>
                <w:highlight w:val="none"/>
                <w:lang w:val="en-US" w:eastAsia="zh-CN"/>
              </w:rPr>
              <w:t>7</w:t>
            </w:r>
          </w:p>
        </w:tc>
        <w:tc>
          <w:tcPr>
            <w:tcW w:w="2352" w:type="dxa"/>
            <w:vAlign w:val="center"/>
          </w:tcPr>
          <w:p>
            <w:pPr>
              <w:keepNext w:val="0"/>
              <w:keepLines w:val="0"/>
              <w:pageBreakBefore w:val="0"/>
              <w:widowControl/>
              <w:suppressLineNumbers w:val="0"/>
              <w:kinsoku/>
              <w:wordWrap/>
              <w:overflowPunct/>
              <w:topLinePunct w:val="0"/>
              <w:autoSpaceDE/>
              <w:autoSpaceDN/>
              <w:bidi w:val="0"/>
              <w:spacing w:line="440" w:lineRule="exact"/>
              <w:jc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val="en-US" w:eastAsia="zh-CN" w:bidi="ar"/>
              </w:rPr>
              <w:t>头盔佩戴装置稳定性</w:t>
            </w:r>
          </w:p>
        </w:tc>
        <w:tc>
          <w:tcPr>
            <w:tcW w:w="2104" w:type="dxa"/>
            <w:vMerge w:val="continue"/>
            <w:vAlign w:val="center"/>
          </w:tcPr>
          <w:p>
            <w:pPr>
              <w:keepNext w:val="0"/>
              <w:keepLines w:val="0"/>
              <w:pageBreakBefore w:val="0"/>
              <w:kinsoku/>
              <w:wordWrap/>
              <w:overflowPunct/>
              <w:topLinePunct w:val="0"/>
              <w:autoSpaceDE/>
              <w:autoSpaceDN/>
              <w:bidi w:val="0"/>
              <w:spacing w:line="440" w:lineRule="exact"/>
              <w:jc w:val="center"/>
              <w:rPr>
                <w:rFonts w:hint="eastAsia" w:ascii="宋体" w:hAnsi="宋体" w:eastAsia="宋体" w:cs="宋体"/>
                <w:sz w:val="21"/>
                <w:szCs w:val="21"/>
                <w:highlight w:val="none"/>
              </w:rPr>
            </w:pPr>
          </w:p>
        </w:tc>
        <w:tc>
          <w:tcPr>
            <w:tcW w:w="2533" w:type="dxa"/>
            <w:vAlign w:val="center"/>
          </w:tcPr>
          <w:p>
            <w:pPr>
              <w:keepNext w:val="0"/>
              <w:keepLines w:val="0"/>
              <w:pageBreakBefore w:val="0"/>
              <w:widowControl/>
              <w:suppressLineNumbers w:val="0"/>
              <w:kinsoku/>
              <w:wordWrap/>
              <w:overflowPunct/>
              <w:topLinePunct w:val="0"/>
              <w:autoSpaceDE/>
              <w:autoSpaceDN/>
              <w:bidi w:val="0"/>
              <w:spacing w:line="440" w:lineRule="exact"/>
              <w:jc w:val="center"/>
              <w:textAlignment w:val="center"/>
              <w:rPr>
                <w:rFonts w:hint="eastAsia" w:ascii="宋体" w:hAnsi="宋体" w:eastAsia="宋体" w:cs="宋体"/>
                <w:kern w:val="2"/>
                <w:sz w:val="21"/>
                <w:szCs w:val="21"/>
                <w:highlight w:val="none"/>
                <w:lang w:val="en-US" w:eastAsia="zh-CN" w:bidi="ar-SA"/>
              </w:rPr>
            </w:pPr>
            <w:r>
              <w:rPr>
                <w:rFonts w:hint="eastAsia" w:ascii="宋体" w:hAnsi="宋体" w:eastAsia="宋体" w:cs="宋体"/>
                <w:i w:val="0"/>
                <w:color w:val="000000"/>
                <w:kern w:val="0"/>
                <w:sz w:val="21"/>
                <w:szCs w:val="21"/>
                <w:highlight w:val="none"/>
                <w:u w:val="none"/>
                <w:lang w:val="en-US" w:eastAsia="zh-CN" w:bidi="ar"/>
              </w:rPr>
              <w:t>GB 24429-2009</w:t>
            </w:r>
          </w:p>
        </w:tc>
      </w:tr>
    </w:tbl>
    <w:p>
      <w:pPr>
        <w:keepNext w:val="0"/>
        <w:keepLines w:val="0"/>
        <w:pageBreakBefore w:val="0"/>
        <w:widowControl w:val="0"/>
        <w:kinsoku/>
        <w:wordWrap/>
        <w:overflowPunct/>
        <w:topLinePunct w:val="0"/>
        <w:autoSpaceDE/>
        <w:autoSpaceDN/>
        <w:bidi w:val="0"/>
        <w:adjustRightInd w:val="0"/>
        <w:snapToGrid w:val="0"/>
        <w:spacing w:line="560" w:lineRule="exact"/>
        <w:ind w:firstLine="420" w:firstLineChars="200"/>
        <w:textAlignment w:val="auto"/>
        <w:rPr>
          <w:rFonts w:hint="eastAsia" w:ascii="宋体" w:hAnsi="宋体" w:eastAsia="宋体" w:cs="宋体"/>
          <w:color w:val="000000"/>
          <w:sz w:val="21"/>
          <w:szCs w:val="21"/>
        </w:rPr>
      </w:pPr>
      <w:bookmarkStart w:id="0" w:name="_Hlk40347690"/>
      <w:r>
        <w:rPr>
          <w:rFonts w:hint="eastAsia" w:ascii="宋体" w:hAnsi="宋体" w:eastAsia="宋体" w:cs="宋体"/>
          <w:color w:val="000000"/>
          <w:sz w:val="21"/>
          <w:szCs w:val="21"/>
        </w:rPr>
        <w:t>执行企业标准、团体标准、地方标准的产品，检验项目参照上述内容执行。</w:t>
      </w:r>
      <w:bookmarkEnd w:id="0"/>
    </w:p>
    <w:p>
      <w:pPr>
        <w:keepNext w:val="0"/>
        <w:keepLines w:val="0"/>
        <w:pageBreakBefore w:val="0"/>
        <w:widowControl w:val="0"/>
        <w:kinsoku/>
        <w:wordWrap/>
        <w:overflowPunct/>
        <w:topLinePunct w:val="0"/>
        <w:autoSpaceDE/>
        <w:autoSpaceDN/>
        <w:bidi w:val="0"/>
        <w:snapToGrid w:val="0"/>
        <w:spacing w:line="560" w:lineRule="exact"/>
        <w:ind w:firstLine="359" w:firstLineChars="171"/>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凡是注日期的文件，其随后所有的修改单（不包括勘误的内容）或修订版不适用于本细则。凡是不注日期的文件，其最新版本适用于本细则。</w:t>
      </w:r>
    </w:p>
    <w:p>
      <w:pPr>
        <w:keepNext w:val="0"/>
        <w:keepLines w:val="0"/>
        <w:pageBreakBefore w:val="0"/>
        <w:widowControl w:val="0"/>
        <w:kinsoku/>
        <w:wordWrap/>
        <w:overflowPunct/>
        <w:topLinePunct w:val="0"/>
        <w:autoSpaceDE/>
        <w:autoSpaceDN/>
        <w:bidi w:val="0"/>
        <w:snapToGrid w:val="0"/>
        <w:spacing w:beforeLines="50" w:line="560" w:lineRule="exact"/>
        <w:textAlignment w:val="auto"/>
        <w:rPr>
          <w:rFonts w:hint="eastAsia" w:ascii="宋体" w:hAnsi="宋体" w:eastAsia="宋体" w:cs="宋体"/>
          <w:b/>
          <w:bCs/>
          <w:color w:val="000000"/>
          <w:sz w:val="21"/>
          <w:szCs w:val="21"/>
        </w:rPr>
      </w:pPr>
      <w:r>
        <w:rPr>
          <w:rFonts w:hint="eastAsia" w:ascii="宋体" w:hAnsi="宋体" w:eastAsia="宋体" w:cs="宋体"/>
          <w:b/>
          <w:bCs/>
          <w:color w:val="000000"/>
          <w:sz w:val="21"/>
          <w:szCs w:val="21"/>
        </w:rPr>
        <w:t>3 判定规则</w:t>
      </w:r>
    </w:p>
    <w:p>
      <w:pPr>
        <w:keepNext w:val="0"/>
        <w:keepLines w:val="0"/>
        <w:pageBreakBefore w:val="0"/>
        <w:widowControl w:val="0"/>
        <w:kinsoku/>
        <w:wordWrap/>
        <w:overflowPunct/>
        <w:topLinePunct w:val="0"/>
        <w:autoSpaceDE/>
        <w:autoSpaceDN/>
        <w:bidi w:val="0"/>
        <w:snapToGrid w:val="0"/>
        <w:spacing w:line="560" w:lineRule="exac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3.1依据标准</w:t>
      </w:r>
    </w:p>
    <w:p>
      <w:pPr>
        <w:keepNext w:val="0"/>
        <w:keepLines w:val="0"/>
        <w:pageBreakBefore w:val="0"/>
        <w:widowControl w:val="0"/>
        <w:kinsoku/>
        <w:wordWrap/>
        <w:overflowPunct/>
        <w:topLinePunct w:val="0"/>
        <w:autoSpaceDE/>
        <w:autoSpaceDN/>
        <w:bidi w:val="0"/>
        <w:snapToGrid w:val="0"/>
        <w:spacing w:line="560" w:lineRule="exact"/>
        <w:ind w:firstLine="420" w:firstLineChars="200"/>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GB 24429-2009 运动头盔 自行车、滑板、轮滑运动头盔的安全要求和试验方法</w:t>
      </w:r>
    </w:p>
    <w:p>
      <w:pPr>
        <w:keepNext w:val="0"/>
        <w:keepLines w:val="0"/>
        <w:pageBreakBefore w:val="0"/>
        <w:widowControl w:val="0"/>
        <w:kinsoku/>
        <w:wordWrap/>
        <w:overflowPunct/>
        <w:topLinePunct w:val="0"/>
        <w:autoSpaceDE/>
        <w:autoSpaceDN/>
        <w:bidi w:val="0"/>
        <w:snapToGrid w:val="0"/>
        <w:spacing w:line="560" w:lineRule="exact"/>
        <w:ind w:firstLine="420" w:firstLineChars="200"/>
        <w:textAlignment w:val="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现行有效的企业标准、团体标准、地方标准及产品明示质量要求</w:t>
      </w:r>
    </w:p>
    <w:p>
      <w:pPr>
        <w:keepNext w:val="0"/>
        <w:keepLines w:val="0"/>
        <w:pageBreakBefore w:val="0"/>
        <w:widowControl w:val="0"/>
        <w:kinsoku/>
        <w:wordWrap/>
        <w:overflowPunct/>
        <w:topLinePunct w:val="0"/>
        <w:autoSpaceDE/>
        <w:autoSpaceDN/>
        <w:bidi w:val="0"/>
        <w:snapToGrid w:val="0"/>
        <w:spacing w:line="560" w:lineRule="exac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3.2判定原则</w:t>
      </w:r>
    </w:p>
    <w:p>
      <w:pPr>
        <w:keepNext w:val="0"/>
        <w:keepLines w:val="0"/>
        <w:pageBreakBefore w:val="0"/>
        <w:widowControl w:val="0"/>
        <w:kinsoku/>
        <w:wordWrap/>
        <w:overflowPunct/>
        <w:topLinePunct w:val="0"/>
        <w:autoSpaceDE/>
        <w:autoSpaceDN/>
        <w:bidi w:val="0"/>
        <w:snapToGrid w:val="0"/>
        <w:spacing w:line="560" w:lineRule="exact"/>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经检验，检验项目全部合格，判定为被抽查产品合格；检验项目中任一项或一项以上不合格，判定为被抽查产品不合格。</w:t>
      </w:r>
    </w:p>
    <w:p>
      <w:pPr>
        <w:keepNext w:val="0"/>
        <w:keepLines w:val="0"/>
        <w:pageBreakBefore w:val="0"/>
        <w:widowControl w:val="0"/>
        <w:kinsoku/>
        <w:wordWrap/>
        <w:overflowPunct/>
        <w:topLinePunct w:val="0"/>
        <w:autoSpaceDE/>
        <w:autoSpaceDN/>
        <w:bidi w:val="0"/>
        <w:snapToGrid w:val="0"/>
        <w:spacing w:line="560" w:lineRule="exact"/>
        <w:ind w:firstLine="417" w:firstLineChars="199"/>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autoSpaceDN/>
        <w:bidi w:val="0"/>
        <w:snapToGrid w:val="0"/>
        <w:spacing w:line="560" w:lineRule="exact"/>
        <w:ind w:firstLine="417" w:firstLineChars="199"/>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snapToGrid w:val="0"/>
        <w:spacing w:line="560" w:lineRule="exact"/>
        <w:ind w:firstLine="417" w:firstLineChars="199"/>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若被检产品明示的质量要求低于或包含本细则中检验项目依据的推荐性标准要求时，应以被检产品明示的质量要求判定。</w:t>
      </w:r>
    </w:p>
    <w:p>
      <w:pPr>
        <w:keepNext w:val="0"/>
        <w:keepLines w:val="0"/>
        <w:pageBreakBefore w:val="0"/>
        <w:widowControl w:val="0"/>
        <w:kinsoku/>
        <w:wordWrap/>
        <w:overflowPunct/>
        <w:topLinePunct w:val="0"/>
        <w:autoSpaceDE/>
        <w:autoSpaceDN/>
        <w:bidi w:val="0"/>
        <w:snapToGrid w:val="0"/>
        <w:spacing w:line="560" w:lineRule="exact"/>
        <w:ind w:firstLine="417" w:firstLineChars="199"/>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snapToGrid w:val="0"/>
        <w:spacing w:line="560" w:lineRule="exact"/>
        <w:ind w:firstLine="417" w:firstLineChars="199"/>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若被检产品明示的质量要求缺少本细则中检验项目依据的推荐性标准要求时，该项目不参与判定。</w:t>
      </w:r>
    </w:p>
    <w:sectPr>
      <w:headerReference r:id="rId3" w:type="default"/>
      <w:footerReference r:id="rId4" w:type="default"/>
      <w:pgSz w:w="11906" w:h="16838"/>
      <w:pgMar w:top="1985" w:right="1474" w:bottom="1644" w:left="1474" w:header="851"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ascii="宋体" w:cs="宋体"/>
        <w:sz w:val="21"/>
        <w:szCs w:val="21"/>
      </w:rPr>
    </w:pPr>
    <w:r>
      <w:rPr>
        <w:rFonts w:ascii="宋体" w:hAnsi="宋体" w:cs="宋体"/>
        <w:sz w:val="21"/>
        <w:szCs w:val="21"/>
        <w:lang w:val="zh-CN"/>
      </w:rPr>
      <w:fldChar w:fldCharType="begin"/>
    </w:r>
    <w:r>
      <w:rPr>
        <w:rFonts w:ascii="宋体" w:hAnsi="宋体" w:cs="宋体"/>
        <w:sz w:val="21"/>
        <w:szCs w:val="21"/>
        <w:lang w:val="zh-CN"/>
      </w:rPr>
      <w:instrText xml:space="preserve"> PAGE   \* MERGEFORMAT </w:instrText>
    </w:r>
    <w:r>
      <w:rPr>
        <w:rFonts w:ascii="宋体" w:hAnsi="宋体" w:cs="宋体"/>
        <w:sz w:val="21"/>
        <w:szCs w:val="21"/>
        <w:lang w:val="zh-CN"/>
      </w:rPr>
      <w:fldChar w:fldCharType="separate"/>
    </w:r>
    <w:r>
      <w:rPr>
        <w:rFonts w:ascii="宋体" w:hAnsi="宋体" w:cs="宋体"/>
        <w:sz w:val="21"/>
        <w:szCs w:val="21"/>
        <w:lang w:val="en-US"/>
      </w:rPr>
      <w:t>1</w:t>
    </w:r>
    <w:r>
      <w:rPr>
        <w:rFonts w:ascii="宋体" w:hAnsi="宋体" w:cs="宋体"/>
        <w:sz w:val="21"/>
        <w:szCs w:val="21"/>
        <w:lang w:val="zh-CN"/>
      </w:rP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NotTrackMoves/>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FiOTJjZjYwODEzYmJjMGNkOGZlMmI2M2JkMjc1MmMifQ=="/>
  </w:docVars>
  <w:rsids>
    <w:rsidRoot w:val="00172A27"/>
    <w:rsid w:val="00042073"/>
    <w:rsid w:val="00044395"/>
    <w:rsid w:val="00051A44"/>
    <w:rsid w:val="00067341"/>
    <w:rsid w:val="00075F11"/>
    <w:rsid w:val="00081CBD"/>
    <w:rsid w:val="00094077"/>
    <w:rsid w:val="000976DE"/>
    <w:rsid w:val="000B4710"/>
    <w:rsid w:val="000D3400"/>
    <w:rsid w:val="000D5D4E"/>
    <w:rsid w:val="000E1BEC"/>
    <w:rsid w:val="000E6F29"/>
    <w:rsid w:val="000F03DF"/>
    <w:rsid w:val="000F3729"/>
    <w:rsid w:val="00145507"/>
    <w:rsid w:val="0015727A"/>
    <w:rsid w:val="00164FF8"/>
    <w:rsid w:val="001710C3"/>
    <w:rsid w:val="00172A27"/>
    <w:rsid w:val="001809DD"/>
    <w:rsid w:val="00194335"/>
    <w:rsid w:val="001B6212"/>
    <w:rsid w:val="001C1BB2"/>
    <w:rsid w:val="001E2620"/>
    <w:rsid w:val="001E5FEE"/>
    <w:rsid w:val="002209DD"/>
    <w:rsid w:val="002301B8"/>
    <w:rsid w:val="00235A62"/>
    <w:rsid w:val="0025350A"/>
    <w:rsid w:val="00253624"/>
    <w:rsid w:val="002619B0"/>
    <w:rsid w:val="002623DD"/>
    <w:rsid w:val="0027151F"/>
    <w:rsid w:val="002A5458"/>
    <w:rsid w:val="002B5408"/>
    <w:rsid w:val="002D3385"/>
    <w:rsid w:val="002D4076"/>
    <w:rsid w:val="002D7F8A"/>
    <w:rsid w:val="002E0D1D"/>
    <w:rsid w:val="002E792F"/>
    <w:rsid w:val="003203A3"/>
    <w:rsid w:val="0034769B"/>
    <w:rsid w:val="00357AC7"/>
    <w:rsid w:val="003640ED"/>
    <w:rsid w:val="003C388C"/>
    <w:rsid w:val="003E61BF"/>
    <w:rsid w:val="003F553F"/>
    <w:rsid w:val="004206DA"/>
    <w:rsid w:val="004437D9"/>
    <w:rsid w:val="00445E86"/>
    <w:rsid w:val="0046458B"/>
    <w:rsid w:val="00474E04"/>
    <w:rsid w:val="004A64B5"/>
    <w:rsid w:val="004C761F"/>
    <w:rsid w:val="004D0C5A"/>
    <w:rsid w:val="004E1396"/>
    <w:rsid w:val="004F555A"/>
    <w:rsid w:val="0051162F"/>
    <w:rsid w:val="00541BF7"/>
    <w:rsid w:val="00563EBC"/>
    <w:rsid w:val="00597FA2"/>
    <w:rsid w:val="005B0B4F"/>
    <w:rsid w:val="005F353F"/>
    <w:rsid w:val="006056EB"/>
    <w:rsid w:val="0061086F"/>
    <w:rsid w:val="00662229"/>
    <w:rsid w:val="006713D6"/>
    <w:rsid w:val="00692B5B"/>
    <w:rsid w:val="00693B8F"/>
    <w:rsid w:val="006971BF"/>
    <w:rsid w:val="006A4B8F"/>
    <w:rsid w:val="006F0971"/>
    <w:rsid w:val="00715923"/>
    <w:rsid w:val="0072334C"/>
    <w:rsid w:val="007235B4"/>
    <w:rsid w:val="007408F6"/>
    <w:rsid w:val="007652A4"/>
    <w:rsid w:val="007A39F0"/>
    <w:rsid w:val="007B5BD5"/>
    <w:rsid w:val="007C60F1"/>
    <w:rsid w:val="007E1E99"/>
    <w:rsid w:val="007E6900"/>
    <w:rsid w:val="007F047E"/>
    <w:rsid w:val="00822D40"/>
    <w:rsid w:val="008839CD"/>
    <w:rsid w:val="00895BEA"/>
    <w:rsid w:val="008A3497"/>
    <w:rsid w:val="008B2694"/>
    <w:rsid w:val="00902779"/>
    <w:rsid w:val="009100B4"/>
    <w:rsid w:val="00917A54"/>
    <w:rsid w:val="00990873"/>
    <w:rsid w:val="009A6948"/>
    <w:rsid w:val="00A43553"/>
    <w:rsid w:val="00A52698"/>
    <w:rsid w:val="00A714C4"/>
    <w:rsid w:val="00A81A11"/>
    <w:rsid w:val="00AB406F"/>
    <w:rsid w:val="00AB5364"/>
    <w:rsid w:val="00AD1F0D"/>
    <w:rsid w:val="00B00A02"/>
    <w:rsid w:val="00B11BDC"/>
    <w:rsid w:val="00B21814"/>
    <w:rsid w:val="00B501D0"/>
    <w:rsid w:val="00B71C88"/>
    <w:rsid w:val="00B80796"/>
    <w:rsid w:val="00B90291"/>
    <w:rsid w:val="00BA3F4E"/>
    <w:rsid w:val="00BA571D"/>
    <w:rsid w:val="00BA612B"/>
    <w:rsid w:val="00BB6A5D"/>
    <w:rsid w:val="00BD1FD8"/>
    <w:rsid w:val="00C116DD"/>
    <w:rsid w:val="00C26074"/>
    <w:rsid w:val="00C61942"/>
    <w:rsid w:val="00C83B0A"/>
    <w:rsid w:val="00C94B32"/>
    <w:rsid w:val="00CA078C"/>
    <w:rsid w:val="00CE1E0C"/>
    <w:rsid w:val="00CE277E"/>
    <w:rsid w:val="00D02FE3"/>
    <w:rsid w:val="00D1749D"/>
    <w:rsid w:val="00D56867"/>
    <w:rsid w:val="00D822C3"/>
    <w:rsid w:val="00DE52A3"/>
    <w:rsid w:val="00DE59CE"/>
    <w:rsid w:val="00E02A7F"/>
    <w:rsid w:val="00E07880"/>
    <w:rsid w:val="00E207FA"/>
    <w:rsid w:val="00E60E75"/>
    <w:rsid w:val="00E72135"/>
    <w:rsid w:val="00E722A0"/>
    <w:rsid w:val="00E75D62"/>
    <w:rsid w:val="00E76709"/>
    <w:rsid w:val="00E76F36"/>
    <w:rsid w:val="00E82621"/>
    <w:rsid w:val="00ED4B24"/>
    <w:rsid w:val="00F110BB"/>
    <w:rsid w:val="00F17854"/>
    <w:rsid w:val="00F36E11"/>
    <w:rsid w:val="00F61C45"/>
    <w:rsid w:val="00F77C9A"/>
    <w:rsid w:val="00F824D9"/>
    <w:rsid w:val="00F954E2"/>
    <w:rsid w:val="00FA2CA5"/>
    <w:rsid w:val="00FB576C"/>
    <w:rsid w:val="00FD2AA6"/>
    <w:rsid w:val="00FD6AFF"/>
    <w:rsid w:val="00FE7E8A"/>
    <w:rsid w:val="02446A91"/>
    <w:rsid w:val="024D317E"/>
    <w:rsid w:val="043B10FF"/>
    <w:rsid w:val="07455335"/>
    <w:rsid w:val="099B02C0"/>
    <w:rsid w:val="0B4E0A10"/>
    <w:rsid w:val="0E0D0C7E"/>
    <w:rsid w:val="120922CC"/>
    <w:rsid w:val="125A6D34"/>
    <w:rsid w:val="13162351"/>
    <w:rsid w:val="131C621F"/>
    <w:rsid w:val="166D6AE7"/>
    <w:rsid w:val="18EA1E42"/>
    <w:rsid w:val="1C256BCA"/>
    <w:rsid w:val="1DAC38C3"/>
    <w:rsid w:val="213920B6"/>
    <w:rsid w:val="22226991"/>
    <w:rsid w:val="25DA20CE"/>
    <w:rsid w:val="26497204"/>
    <w:rsid w:val="273F48DE"/>
    <w:rsid w:val="29F33D10"/>
    <w:rsid w:val="2ADA1AA8"/>
    <w:rsid w:val="2AEF6C27"/>
    <w:rsid w:val="2F4C28CF"/>
    <w:rsid w:val="2FC259E3"/>
    <w:rsid w:val="31B40797"/>
    <w:rsid w:val="35D05CB2"/>
    <w:rsid w:val="3676199F"/>
    <w:rsid w:val="39FD1B82"/>
    <w:rsid w:val="3AFD2B1C"/>
    <w:rsid w:val="3B0928E6"/>
    <w:rsid w:val="3CA54FA7"/>
    <w:rsid w:val="3EA50BB7"/>
    <w:rsid w:val="3FC45AA6"/>
    <w:rsid w:val="42B41EC4"/>
    <w:rsid w:val="43B65AD0"/>
    <w:rsid w:val="43CF5613"/>
    <w:rsid w:val="44497604"/>
    <w:rsid w:val="45BE672D"/>
    <w:rsid w:val="463967B1"/>
    <w:rsid w:val="46E737E6"/>
    <w:rsid w:val="46F877C2"/>
    <w:rsid w:val="47CB736B"/>
    <w:rsid w:val="47E56984"/>
    <w:rsid w:val="48086879"/>
    <w:rsid w:val="489B1C01"/>
    <w:rsid w:val="48B214BE"/>
    <w:rsid w:val="4D5C31E3"/>
    <w:rsid w:val="4D675F6F"/>
    <w:rsid w:val="50CC3230"/>
    <w:rsid w:val="52197FA9"/>
    <w:rsid w:val="53960078"/>
    <w:rsid w:val="53B27A50"/>
    <w:rsid w:val="550E5435"/>
    <w:rsid w:val="55101A0D"/>
    <w:rsid w:val="558356C5"/>
    <w:rsid w:val="570566FB"/>
    <w:rsid w:val="57F703E7"/>
    <w:rsid w:val="59635BFA"/>
    <w:rsid w:val="5A025174"/>
    <w:rsid w:val="5AA23B31"/>
    <w:rsid w:val="5E241D43"/>
    <w:rsid w:val="5EC63C9B"/>
    <w:rsid w:val="5EFE330D"/>
    <w:rsid w:val="5FE77CE8"/>
    <w:rsid w:val="6068042F"/>
    <w:rsid w:val="60A47A52"/>
    <w:rsid w:val="60A60A51"/>
    <w:rsid w:val="62321924"/>
    <w:rsid w:val="62B80FD9"/>
    <w:rsid w:val="632D0425"/>
    <w:rsid w:val="64C37830"/>
    <w:rsid w:val="650224CC"/>
    <w:rsid w:val="6589211E"/>
    <w:rsid w:val="67F87BB6"/>
    <w:rsid w:val="686874DA"/>
    <w:rsid w:val="68B85398"/>
    <w:rsid w:val="68DC3618"/>
    <w:rsid w:val="6A5F3F1C"/>
    <w:rsid w:val="6D3832E1"/>
    <w:rsid w:val="709D579F"/>
    <w:rsid w:val="71B27028"/>
    <w:rsid w:val="71D750D8"/>
    <w:rsid w:val="744778AB"/>
    <w:rsid w:val="74B96ECC"/>
    <w:rsid w:val="74CE7542"/>
    <w:rsid w:val="755F1275"/>
    <w:rsid w:val="757271D1"/>
    <w:rsid w:val="75BB472E"/>
    <w:rsid w:val="76231340"/>
    <w:rsid w:val="766168BD"/>
    <w:rsid w:val="774848A6"/>
    <w:rsid w:val="78BB74D8"/>
    <w:rsid w:val="7DD42014"/>
    <w:rsid w:val="7FC220B2"/>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iPriority="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6"/>
    <w:qFormat/>
    <w:uiPriority w:val="99"/>
    <w:pPr>
      <w:ind w:firstLine="600" w:firstLineChars="200"/>
    </w:pPr>
    <w:rPr>
      <w:rFonts w:eastAsia="仿宋_GB2312"/>
      <w:sz w:val="24"/>
      <w:szCs w:val="24"/>
    </w:rPr>
  </w:style>
  <w:style w:type="paragraph" w:styleId="3">
    <w:name w:val="Balloon Text"/>
    <w:basedOn w:val="1"/>
    <w:link w:val="19"/>
    <w:semiHidden/>
    <w:qFormat/>
    <w:uiPriority w:val="99"/>
    <w:rPr>
      <w:sz w:val="18"/>
      <w:szCs w:val="18"/>
    </w:rPr>
  </w:style>
  <w:style w:type="paragraph" w:styleId="4">
    <w:name w:val="footer"/>
    <w:basedOn w:val="1"/>
    <w:link w:val="10"/>
    <w:qFormat/>
    <w:uiPriority w:val="99"/>
    <w:pPr>
      <w:tabs>
        <w:tab w:val="center" w:pos="4153"/>
        <w:tab w:val="right" w:pos="8306"/>
      </w:tabs>
      <w:snapToGrid w:val="0"/>
      <w:jc w:val="left"/>
    </w:pPr>
    <w:rPr>
      <w:sz w:val="18"/>
      <w:szCs w:val="18"/>
    </w:rPr>
  </w:style>
  <w:style w:type="paragraph" w:styleId="5">
    <w:name w:val="header"/>
    <w:basedOn w:val="1"/>
    <w:link w:val="11"/>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semiHidden/>
    <w:unhideWhenUsed/>
    <w:qFormat/>
    <w:locked/>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page number"/>
    <w:basedOn w:val="8"/>
    <w:qFormat/>
    <w:uiPriority w:val="99"/>
  </w:style>
  <w:style w:type="character" w:customStyle="1" w:styleId="10">
    <w:name w:val="页脚 Char"/>
    <w:link w:val="4"/>
    <w:qFormat/>
    <w:locked/>
    <w:uiPriority w:val="99"/>
    <w:rPr>
      <w:kern w:val="2"/>
      <w:sz w:val="18"/>
      <w:szCs w:val="18"/>
    </w:rPr>
  </w:style>
  <w:style w:type="character" w:customStyle="1" w:styleId="11">
    <w:name w:val="页眉 Char"/>
    <w:link w:val="5"/>
    <w:semiHidden/>
    <w:qFormat/>
    <w:locked/>
    <w:uiPriority w:val="99"/>
    <w:rPr>
      <w:kern w:val="2"/>
      <w:sz w:val="18"/>
      <w:szCs w:val="18"/>
    </w:rPr>
  </w:style>
  <w:style w:type="paragraph" w:customStyle="1" w:styleId="12">
    <w:name w:val="列出段落1"/>
    <w:basedOn w:val="1"/>
    <w:qFormat/>
    <w:uiPriority w:val="99"/>
    <w:pPr>
      <w:ind w:firstLine="420" w:firstLineChars="200"/>
    </w:pPr>
    <w:rPr>
      <w:rFonts w:ascii="Calibri" w:hAnsi="Calibri" w:cs="Calibri"/>
    </w:rPr>
  </w:style>
  <w:style w:type="character" w:customStyle="1" w:styleId="13">
    <w:name w:val="Footer Char1"/>
    <w:semiHidden/>
    <w:qFormat/>
    <w:uiPriority w:val="99"/>
    <w:rPr>
      <w:sz w:val="18"/>
      <w:szCs w:val="18"/>
    </w:rPr>
  </w:style>
  <w:style w:type="character" w:customStyle="1" w:styleId="14">
    <w:name w:val="Header Char1"/>
    <w:semiHidden/>
    <w:qFormat/>
    <w:uiPriority w:val="99"/>
    <w:rPr>
      <w:sz w:val="18"/>
      <w:szCs w:val="18"/>
    </w:rPr>
  </w:style>
  <w:style w:type="paragraph" w:customStyle="1" w:styleId="15">
    <w:name w:val="_Style 67"/>
    <w:basedOn w:val="1"/>
    <w:next w:val="1"/>
    <w:qFormat/>
    <w:uiPriority w:val="99"/>
    <w:pPr>
      <w:widowControl/>
      <w:spacing w:line="360" w:lineRule="auto"/>
      <w:ind w:firstLine="420" w:firstLineChars="200"/>
      <w:jc w:val="left"/>
    </w:pPr>
    <w:rPr>
      <w:rFonts w:ascii="Calibri" w:hAnsi="Calibri" w:eastAsia="微软雅黑" w:cs="Calibri"/>
      <w:sz w:val="24"/>
      <w:szCs w:val="24"/>
    </w:rPr>
  </w:style>
  <w:style w:type="character" w:customStyle="1" w:styleId="16">
    <w:name w:val="正文文本缩进 Char"/>
    <w:link w:val="2"/>
    <w:qFormat/>
    <w:locked/>
    <w:uiPriority w:val="99"/>
    <w:rPr>
      <w:rFonts w:eastAsia="仿宋_GB2312"/>
      <w:kern w:val="2"/>
      <w:sz w:val="24"/>
      <w:szCs w:val="24"/>
    </w:rPr>
  </w:style>
  <w:style w:type="character" w:customStyle="1" w:styleId="17">
    <w:name w:val="Body Text Indent Char1"/>
    <w:semiHidden/>
    <w:qFormat/>
    <w:uiPriority w:val="99"/>
    <w:rPr>
      <w:szCs w:val="21"/>
    </w:rPr>
  </w:style>
  <w:style w:type="character" w:customStyle="1" w:styleId="18">
    <w:name w:val="正文文本缩进 字符"/>
    <w:semiHidden/>
    <w:qFormat/>
    <w:uiPriority w:val="99"/>
    <w:rPr>
      <w:kern w:val="2"/>
      <w:sz w:val="24"/>
      <w:szCs w:val="24"/>
    </w:rPr>
  </w:style>
  <w:style w:type="character" w:customStyle="1" w:styleId="19">
    <w:name w:val="批注框文本 Char"/>
    <w:link w:val="3"/>
    <w:semiHidden/>
    <w:qFormat/>
    <w:locked/>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Legend (Beijing) Limited</Company>
  <Pages>2</Pages>
  <Words>658</Words>
  <Characters>755</Characters>
  <Lines>25</Lines>
  <Paragraphs>7</Paragraphs>
  <TotalTime>2</TotalTime>
  <ScaleCrop>false</ScaleCrop>
  <LinksUpToDate>false</LinksUpToDate>
  <CharactersWithSpaces>771</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2019-12-18T07:49:00Z</dcterms:created>
  <dc:creator>Legend User</dc:creator>
  <cp:lastModifiedBy>毕美丽</cp:lastModifiedBy>
  <cp:lastPrinted>2020-08-24T03:42:00Z</cp:lastPrinted>
  <dcterms:modified xsi:type="dcterms:W3CDTF">2022-06-23T06:00:51Z</dcterms:modified>
  <dc:title>××产品质量监督抽查实施细则</dc:title>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0F9A43F345BE41CA94C7917B54D06631</vt:lpwstr>
  </property>
</Properties>
</file>