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415" w:lineRule="exact"/>
        <w:rPr>
          <w:rFonts w:hint="eastAsia" w:ascii="黑体" w:hAnsi="黑体" w:eastAsia="黑体" w:cs="黑体"/>
          <w:color w:val="231F20"/>
          <w:spacing w:val="-7"/>
          <w:position w:val="1"/>
          <w:sz w:val="31"/>
          <w:szCs w:val="31"/>
          <w:lang w:val="en-US" w:eastAsia="zh-CN"/>
        </w:rPr>
      </w:pPr>
    </w:p>
    <w:p>
      <w:pPr>
        <w:pStyle w:val="2"/>
        <w:spacing w:before="101" w:line="415" w:lineRule="exact"/>
        <w:rPr>
          <w:rFonts w:hint="eastAsia" w:ascii="黑体" w:hAnsi="黑体" w:eastAsia="黑体" w:cs="黑体"/>
          <w:color w:val="231F20"/>
          <w:spacing w:val="-7"/>
          <w:position w:val="1"/>
          <w:sz w:val="31"/>
          <w:szCs w:val="31"/>
          <w:lang w:val="en-US" w:eastAsia="zh-CN"/>
        </w:rPr>
      </w:pPr>
    </w:p>
    <w:p>
      <w:pPr>
        <w:pStyle w:val="2"/>
        <w:spacing w:before="101" w:line="415" w:lineRule="exact"/>
        <w:rPr>
          <w:rFonts w:hint="eastAsia" w:ascii="黑体" w:hAnsi="黑体" w:eastAsia="黑体" w:cs="黑体"/>
          <w:color w:val="231F20"/>
          <w:spacing w:val="-7"/>
          <w:position w:val="1"/>
          <w:sz w:val="31"/>
          <w:szCs w:val="31"/>
          <w:lang w:val="en-US" w:eastAsia="zh-CN"/>
        </w:rPr>
      </w:pPr>
      <w:bookmarkStart w:id="0" w:name="_GoBack"/>
    </w:p>
    <w:p>
      <w:pPr>
        <w:pStyle w:val="2"/>
        <w:spacing w:before="101" w:line="415" w:lineRule="exact"/>
        <w:rPr>
          <w:rFonts w:hint="default" w:ascii="黑体" w:hAnsi="黑体" w:eastAsia="黑体" w:cs="黑体"/>
          <w:color w:val="231F20"/>
          <w:spacing w:val="-7"/>
          <w:position w:val="1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231F20"/>
          <w:spacing w:val="-7"/>
          <w:position w:val="1"/>
          <w:sz w:val="31"/>
          <w:szCs w:val="31"/>
          <w:lang w:val="en-US" w:eastAsia="zh-CN"/>
        </w:rPr>
        <w:t>附件1</w:t>
      </w:r>
    </w:p>
    <w:bookmarkEnd w:id="0"/>
    <w:p>
      <w:pPr>
        <w:spacing w:before="300" w:line="187" w:lineRule="auto"/>
        <w:ind w:left="4520" w:leftChars="400" w:hanging="3680" w:hangingChars="500"/>
        <w:rPr>
          <w:rFonts w:ascii="微软雅黑" w:hAnsi="微软雅黑" w:eastAsia="微软雅黑" w:cs="微软雅黑"/>
          <w:color w:val="231F20"/>
          <w:spacing w:val="18"/>
          <w:sz w:val="70"/>
          <w:szCs w:val="70"/>
        </w:rPr>
      </w:pPr>
    </w:p>
    <w:p>
      <w:pPr>
        <w:spacing w:before="300" w:line="187" w:lineRule="auto"/>
        <w:ind w:left="4520" w:leftChars="400" w:hanging="3680" w:hangingChars="500"/>
        <w:rPr>
          <w:rFonts w:ascii="微软雅黑" w:hAnsi="微软雅黑" w:eastAsia="微软雅黑" w:cs="微软雅黑"/>
          <w:color w:val="231F20"/>
          <w:spacing w:val="14"/>
          <w:sz w:val="70"/>
          <w:szCs w:val="70"/>
        </w:rPr>
      </w:pPr>
      <w:r>
        <w:rPr>
          <w:rFonts w:ascii="微软雅黑" w:hAnsi="微软雅黑" w:eastAsia="微软雅黑" w:cs="微软雅黑"/>
          <w:color w:val="231F20"/>
          <w:spacing w:val="18"/>
          <w:sz w:val="70"/>
          <w:szCs w:val="70"/>
        </w:rPr>
        <w:t>鄂尔多斯市市场监管领域旗区重点工作</w:t>
      </w:r>
      <w:r>
        <w:rPr>
          <w:rFonts w:ascii="微软雅黑" w:hAnsi="微软雅黑" w:eastAsia="微软雅黑" w:cs="微软雅黑"/>
          <w:color w:val="231F20"/>
          <w:spacing w:val="14"/>
          <w:sz w:val="70"/>
          <w:szCs w:val="70"/>
        </w:rPr>
        <w:t>任务清单</w:t>
      </w:r>
    </w:p>
    <w:p>
      <w:pPr>
        <w:spacing w:before="300" w:line="187" w:lineRule="auto"/>
        <w:ind w:left="4480" w:leftChars="400" w:hanging="3640" w:hangingChars="500"/>
        <w:rPr>
          <w:rFonts w:ascii="微软雅黑" w:hAnsi="微软雅黑" w:eastAsia="微软雅黑" w:cs="微软雅黑"/>
          <w:color w:val="231F20"/>
          <w:spacing w:val="14"/>
          <w:sz w:val="70"/>
          <w:szCs w:val="70"/>
        </w:rPr>
      </w:pPr>
    </w:p>
    <w:p>
      <w:pPr>
        <w:spacing w:before="150" w:line="186" w:lineRule="auto"/>
        <w:ind w:firstLine="4392" w:firstLineChars="1200"/>
        <w:rPr>
          <w:rFonts w:ascii="微软雅黑" w:hAnsi="微软雅黑" w:eastAsia="微软雅黑" w:cs="微软雅黑"/>
          <w:color w:val="231F20"/>
          <w:spacing w:val="8"/>
          <w:sz w:val="35"/>
          <w:szCs w:val="35"/>
        </w:rPr>
      </w:pPr>
    </w:p>
    <w:p>
      <w:pPr>
        <w:spacing w:before="150" w:line="186" w:lineRule="auto"/>
        <w:ind w:firstLine="4392" w:firstLineChars="1200"/>
        <w:rPr>
          <w:rFonts w:ascii="微软雅黑" w:hAnsi="微软雅黑" w:eastAsia="微软雅黑" w:cs="微软雅黑"/>
          <w:color w:val="231F20"/>
          <w:spacing w:val="8"/>
          <w:sz w:val="35"/>
          <w:szCs w:val="35"/>
        </w:rPr>
      </w:pPr>
    </w:p>
    <w:p>
      <w:pPr>
        <w:spacing w:before="150" w:line="186" w:lineRule="auto"/>
        <w:ind w:firstLine="4758" w:firstLineChars="130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color w:val="231F20"/>
          <w:spacing w:val="8"/>
          <w:sz w:val="35"/>
          <w:szCs w:val="35"/>
        </w:rPr>
        <w:t>鄂尔多斯市市场监督管理局</w:t>
      </w:r>
    </w:p>
    <w:p>
      <w:pPr>
        <w:pStyle w:val="2"/>
        <w:spacing w:before="2" w:line="197" w:lineRule="auto"/>
        <w:ind w:left="6105"/>
        <w:rPr>
          <w:rFonts w:ascii="微软雅黑" w:hAnsi="微软雅黑" w:eastAsia="微软雅黑" w:cs="微软雅黑"/>
          <w:sz w:val="35"/>
          <w:szCs w:val="35"/>
        </w:rPr>
      </w:pPr>
      <w:r>
        <w:rPr>
          <w:color w:val="231F20"/>
          <w:spacing w:val="-18"/>
          <w:sz w:val="35"/>
          <w:szCs w:val="35"/>
        </w:rPr>
        <w:t>2023</w:t>
      </w:r>
      <w:r>
        <w:rPr>
          <w:color w:val="231F20"/>
          <w:spacing w:val="-31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8"/>
          <w:sz w:val="35"/>
          <w:szCs w:val="35"/>
        </w:rPr>
        <w:t>年</w:t>
      </w:r>
      <w:r>
        <w:rPr>
          <w:rFonts w:ascii="微软雅黑" w:hAnsi="微软雅黑" w:eastAsia="微软雅黑" w:cs="微软雅黑"/>
          <w:color w:val="231F20"/>
          <w:spacing w:val="-39"/>
          <w:sz w:val="35"/>
          <w:szCs w:val="35"/>
        </w:rPr>
        <w:t xml:space="preserve"> </w:t>
      </w:r>
      <w:r>
        <w:rPr>
          <w:color w:val="231F20"/>
          <w:spacing w:val="-18"/>
          <w:sz w:val="35"/>
          <w:szCs w:val="35"/>
        </w:rPr>
        <w:t xml:space="preserve">3 </w:t>
      </w:r>
      <w:r>
        <w:rPr>
          <w:rFonts w:ascii="微软雅黑" w:hAnsi="微软雅黑" w:eastAsia="微软雅黑" w:cs="微软雅黑"/>
          <w:color w:val="231F20"/>
          <w:spacing w:val="-18"/>
          <w:sz w:val="35"/>
          <w:szCs w:val="35"/>
        </w:rPr>
        <w:t>月</w:t>
      </w:r>
    </w:p>
    <w:p>
      <w:pPr>
        <w:spacing w:before="300" w:line="187" w:lineRule="auto"/>
        <w:rPr>
          <w:rFonts w:ascii="微软雅黑" w:hAnsi="微软雅黑" w:eastAsia="微软雅黑" w:cs="微软雅黑"/>
          <w:color w:val="231F20"/>
          <w:spacing w:val="14"/>
          <w:sz w:val="70"/>
          <w:szCs w:val="70"/>
        </w:rPr>
        <w:sectPr>
          <w:headerReference r:id="rId5" w:type="default"/>
          <w:footerReference r:id="rId6" w:type="default"/>
          <w:pgSz w:w="16838" w:h="11906"/>
          <w:pgMar w:top="400" w:right="2088" w:bottom="1351" w:left="2088" w:header="0" w:footer="1164" w:gutter="0"/>
          <w:cols w:space="720" w:num="1"/>
        </w:sectPr>
      </w:pPr>
    </w:p>
    <w:p>
      <w:pPr>
        <w:spacing w:before="88" w:line="358" w:lineRule="exact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color w:val="231F20"/>
          <w:spacing w:val="7"/>
          <w:position w:val="1"/>
          <w:sz w:val="27"/>
          <w:szCs w:val="27"/>
        </w:rPr>
        <w:t>重点任务管理指标</w:t>
      </w:r>
    </w:p>
    <w:p>
      <w:pPr>
        <w:pStyle w:val="2"/>
        <w:spacing w:before="125" w:line="206" w:lineRule="auto"/>
        <w:ind w:left="659"/>
        <w:rPr>
          <w:rFonts w:ascii="微软雅黑" w:hAnsi="微软雅黑" w:eastAsia="微软雅黑" w:cs="微软雅黑"/>
          <w:sz w:val="41"/>
          <w:szCs w:val="41"/>
        </w:rPr>
      </w:pPr>
      <w:r>
        <w:rPr>
          <w:color w:val="231F20"/>
          <w:spacing w:val="-3"/>
          <w:sz w:val="41"/>
          <w:szCs w:val="41"/>
        </w:rPr>
        <w:t>2023</w:t>
      </w:r>
      <w:r>
        <w:rPr>
          <w:color w:val="231F20"/>
          <w:spacing w:val="-43"/>
          <w:sz w:val="41"/>
          <w:szCs w:val="41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3"/>
          <w:sz w:val="41"/>
          <w:szCs w:val="41"/>
        </w:rPr>
        <w:t>年度各旗区市场监管局任务清单（推进知识产权强市战略）</w:t>
      </w:r>
    </w:p>
    <w:tbl>
      <w:tblPr>
        <w:tblStyle w:val="5"/>
        <w:tblW w:w="14387" w:type="dxa"/>
        <w:tblInd w:w="-105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040"/>
        <w:gridCol w:w="2499"/>
        <w:gridCol w:w="5853"/>
        <w:gridCol w:w="1301"/>
        <w:gridCol w:w="1120"/>
        <w:gridCol w:w="166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7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before="134" w:line="270" w:lineRule="exact"/>
              <w:ind w:left="7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5"/>
                <w:position w:val="1"/>
                <w:sz w:val="21"/>
                <w:szCs w:val="21"/>
              </w:rPr>
              <w:t>序号</w:t>
            </w:r>
          </w:p>
        </w:tc>
        <w:tc>
          <w:tcPr>
            <w:tcW w:w="1040" w:type="dxa"/>
            <w:tcBorders>
              <w:top w:val="single" w:color="231F20" w:sz="6" w:space="0"/>
            </w:tcBorders>
            <w:vAlign w:val="top"/>
          </w:tcPr>
          <w:p>
            <w:pPr>
              <w:spacing w:before="134" w:line="267" w:lineRule="exact"/>
              <w:ind w:left="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5"/>
                <w:position w:val="1"/>
                <w:sz w:val="21"/>
                <w:szCs w:val="21"/>
              </w:rPr>
              <w:t>一级指标</w:t>
            </w:r>
          </w:p>
        </w:tc>
        <w:tc>
          <w:tcPr>
            <w:tcW w:w="2499" w:type="dxa"/>
            <w:tcBorders>
              <w:top w:val="single" w:color="231F20" w:sz="6" w:space="0"/>
            </w:tcBorders>
            <w:vAlign w:val="top"/>
          </w:tcPr>
          <w:p>
            <w:pPr>
              <w:spacing w:before="134" w:line="267" w:lineRule="exact"/>
              <w:ind w:left="5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5"/>
                <w:position w:val="1"/>
                <w:sz w:val="21"/>
                <w:szCs w:val="21"/>
              </w:rPr>
              <w:t>二级指标</w:t>
            </w:r>
          </w:p>
        </w:tc>
        <w:tc>
          <w:tcPr>
            <w:tcW w:w="5853" w:type="dxa"/>
            <w:tcBorders>
              <w:top w:val="single" w:color="231F20" w:sz="6" w:space="0"/>
            </w:tcBorders>
            <w:vAlign w:val="top"/>
          </w:tcPr>
          <w:p>
            <w:pPr>
              <w:spacing w:before="134" w:line="267" w:lineRule="exact"/>
              <w:ind w:left="25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6"/>
                <w:position w:val="1"/>
                <w:sz w:val="21"/>
                <w:szCs w:val="21"/>
              </w:rPr>
              <w:t>任务细则</w:t>
            </w:r>
          </w:p>
        </w:tc>
        <w:tc>
          <w:tcPr>
            <w:tcW w:w="1301" w:type="dxa"/>
            <w:tcBorders>
              <w:top w:val="single" w:color="231F20" w:sz="6" w:space="0"/>
            </w:tcBorders>
            <w:vAlign w:val="top"/>
          </w:tcPr>
          <w:p>
            <w:pPr>
              <w:spacing w:before="134" w:line="267" w:lineRule="exact"/>
              <w:ind w:left="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6"/>
                <w:position w:val="1"/>
                <w:sz w:val="21"/>
                <w:szCs w:val="21"/>
              </w:rPr>
              <w:t>完成时限</w:t>
            </w:r>
          </w:p>
        </w:tc>
        <w:tc>
          <w:tcPr>
            <w:tcW w:w="1120" w:type="dxa"/>
            <w:tcBorders>
              <w:top w:val="single" w:color="231F20" w:sz="6" w:space="0"/>
            </w:tcBorders>
            <w:vAlign w:val="top"/>
          </w:tcPr>
          <w:p>
            <w:pPr>
              <w:spacing w:before="134" w:line="268" w:lineRule="exact"/>
              <w:ind w:left="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5"/>
                <w:position w:val="1"/>
                <w:sz w:val="21"/>
                <w:szCs w:val="21"/>
              </w:rPr>
              <w:t>实施主体</w:t>
            </w:r>
          </w:p>
        </w:tc>
        <w:tc>
          <w:tcPr>
            <w:tcW w:w="1667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134" w:line="270" w:lineRule="exact"/>
              <w:ind w:left="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231F20"/>
                <w:spacing w:val="7"/>
                <w:position w:val="1"/>
                <w:sz w:val="21"/>
                <w:szCs w:val="21"/>
              </w:rPr>
              <w:t>市局管控部门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1" w:hRule="atLeast"/>
        </w:trPr>
        <w:tc>
          <w:tcPr>
            <w:tcW w:w="907" w:type="dxa"/>
            <w:tcBorders>
              <w:left w:val="single" w:color="231F20" w:sz="6" w:space="0"/>
            </w:tcBorders>
            <w:vAlign w:val="top"/>
          </w:tcPr>
          <w:p>
            <w:pPr>
              <w:pStyle w:val="6"/>
              <w:spacing w:line="27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7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7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7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7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78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57" w:line="183" w:lineRule="auto"/>
              <w:ind w:left="234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6</w:t>
            </w:r>
          </w:p>
        </w:tc>
        <w:tc>
          <w:tcPr>
            <w:tcW w:w="10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0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0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0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0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0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0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0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0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0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0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0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50" w:lineRule="auto"/>
              <w:rPr>
                <w:sz w:val="21"/>
                <w:szCs w:val="21"/>
              </w:rPr>
            </w:pPr>
          </w:p>
          <w:p>
            <w:pPr>
              <w:spacing w:before="86" w:line="185" w:lineRule="auto"/>
              <w:ind w:left="65" w:right="72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发展工作</w:t>
            </w:r>
          </w:p>
        </w:tc>
        <w:tc>
          <w:tcPr>
            <w:tcW w:w="2499" w:type="dxa"/>
            <w:vAlign w:val="top"/>
          </w:tcPr>
          <w:p>
            <w:pPr>
              <w:spacing w:before="229" w:line="186" w:lineRule="auto"/>
              <w:ind w:left="49" w:firstLine="5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3"/>
                <w:sz w:val="21"/>
                <w:szCs w:val="21"/>
              </w:rPr>
              <w:t>实施知识产权量质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1"/>
                <w:szCs w:val="21"/>
              </w:rPr>
              <w:t>齐升工程</w:t>
            </w:r>
            <w:r>
              <w:rPr>
                <w:rFonts w:ascii="微软雅黑" w:hAnsi="微软雅黑" w:eastAsia="微软雅黑" w:cs="微软雅黑"/>
                <w:color w:val="231F20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1"/>
                <w:szCs w:val="21"/>
              </w:rPr>
              <w:t>，促进知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18"/>
                <w:sz w:val="21"/>
                <w:szCs w:val="21"/>
              </w:rPr>
              <w:t>识产权转化运用</w:t>
            </w:r>
            <w:r>
              <w:rPr>
                <w:rFonts w:ascii="微软雅黑" w:hAnsi="微软雅黑" w:eastAsia="微软雅黑" w:cs="微软雅黑"/>
                <w:color w:val="231F20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8"/>
                <w:sz w:val="21"/>
                <w:szCs w:val="21"/>
              </w:rPr>
              <w:t>，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1"/>
                <w:szCs w:val="21"/>
              </w:rPr>
              <w:t>助推产业高质量发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展</w:t>
            </w:r>
            <w:r>
              <w:rPr>
                <w:rFonts w:ascii="微软雅黑" w:hAnsi="微软雅黑" w:eastAsia="微软雅黑" w:cs="微软雅黑"/>
                <w:color w:val="231F20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。</w:t>
            </w:r>
            <w:r>
              <w:rPr>
                <w:rFonts w:ascii="微软雅黑" w:hAnsi="微软雅黑" w:eastAsia="微软雅黑" w:cs="微软雅黑"/>
                <w:color w:val="231F20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围绕高价值发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sz w:val="21"/>
                <w:szCs w:val="21"/>
              </w:rPr>
              <w:t>明专利、商标、知识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1"/>
                <w:szCs w:val="21"/>
              </w:rPr>
              <w:t>产权质押融资等核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1"/>
                <w:szCs w:val="21"/>
              </w:rPr>
              <w:t>心指标</w:t>
            </w:r>
            <w:r>
              <w:rPr>
                <w:rFonts w:ascii="微软雅黑" w:hAnsi="微软雅黑" w:eastAsia="微软雅黑" w:cs="微软雅黑"/>
                <w:color w:val="231F20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1"/>
                <w:szCs w:val="21"/>
              </w:rPr>
              <w:t>，强化知识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1"/>
                <w:szCs w:val="21"/>
              </w:rPr>
              <w:t>产权运用促进和成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1"/>
                <w:szCs w:val="21"/>
              </w:rPr>
              <w:t>果转化</w:t>
            </w:r>
            <w:r>
              <w:rPr>
                <w:rFonts w:ascii="微软雅黑" w:hAnsi="微软雅黑" w:eastAsia="微软雅黑" w:cs="微软雅黑"/>
                <w:color w:val="231F20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1"/>
                <w:szCs w:val="21"/>
              </w:rPr>
              <w:t>，不断提升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1"/>
                <w:szCs w:val="21"/>
              </w:rPr>
              <w:t>知识产权创造使用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价值。</w:t>
            </w:r>
          </w:p>
        </w:tc>
        <w:tc>
          <w:tcPr>
            <w:tcW w:w="5853" w:type="dxa"/>
            <w:vAlign w:val="top"/>
          </w:tcPr>
          <w:p>
            <w:pPr>
              <w:pStyle w:val="6"/>
              <w:spacing w:line="333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333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85" w:line="186" w:lineRule="auto"/>
              <w:ind w:left="54" w:firstLine="14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4"/>
                <w:sz w:val="21"/>
                <w:szCs w:val="21"/>
              </w:rPr>
              <w:t>1.</w:t>
            </w:r>
            <w:r>
              <w:rPr>
                <w:color w:val="231F20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1"/>
                <w:szCs w:val="21"/>
              </w:rPr>
              <w:t>加大商标品牌培育力度，商标有效注册量增长率达到</w:t>
            </w:r>
            <w:r>
              <w:rPr>
                <w:rFonts w:ascii="微软雅黑" w:hAnsi="微软雅黑" w:eastAsia="微软雅黑" w:cs="微软雅黑"/>
                <w:color w:val="231F20"/>
                <w:spacing w:val="-14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-4"/>
                <w:sz w:val="21"/>
                <w:szCs w:val="21"/>
              </w:rPr>
              <w:t xml:space="preserve">10% 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1"/>
                <w:szCs w:val="21"/>
              </w:rPr>
              <w:t>以上。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color w:val="231F20"/>
                <w:sz w:val="21"/>
                <w:szCs w:val="21"/>
              </w:rPr>
              <w:t>2.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>推进专利转化运用，专利授权量增长</w:t>
            </w:r>
            <w:r>
              <w:rPr>
                <w:rFonts w:ascii="微软雅黑" w:hAnsi="微软雅黑" w:eastAsia="微软雅黑" w:cs="微软雅黑"/>
                <w:color w:val="231F20"/>
                <w:spacing w:val="-17"/>
                <w:sz w:val="21"/>
                <w:szCs w:val="21"/>
              </w:rPr>
              <w:t xml:space="preserve"> </w:t>
            </w:r>
            <w:r>
              <w:rPr>
                <w:color w:val="231F20"/>
                <w:sz w:val="21"/>
                <w:szCs w:val="21"/>
              </w:rPr>
              <w:t>8</w:t>
            </w:r>
            <w:r>
              <w:rPr>
                <w:color w:val="231F20"/>
                <w:spacing w:val="-1"/>
                <w:sz w:val="21"/>
                <w:szCs w:val="21"/>
              </w:rPr>
              <w:t>%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1"/>
                <w:szCs w:val="21"/>
              </w:rPr>
              <w:t>，每万人口高价值发明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1"/>
                <w:szCs w:val="21"/>
              </w:rPr>
              <w:t>专利拥有量增加</w:t>
            </w:r>
            <w:r>
              <w:rPr>
                <w:rFonts w:ascii="微软雅黑" w:hAnsi="微软雅黑" w:eastAsia="微软雅黑" w:cs="微软雅黑"/>
                <w:color w:val="231F20"/>
                <w:spacing w:val="-17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2"/>
                <w:sz w:val="21"/>
                <w:szCs w:val="21"/>
              </w:rPr>
              <w:t>0.3</w:t>
            </w:r>
            <w:r>
              <w:rPr>
                <w:color w:val="231F20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1"/>
                <w:szCs w:val="21"/>
              </w:rPr>
              <w:t>件。</w:t>
            </w:r>
          </w:p>
          <w:p>
            <w:pPr>
              <w:pStyle w:val="6"/>
              <w:spacing w:before="3" w:line="184" w:lineRule="auto"/>
              <w:ind w:left="68" w:right="50" w:hanging="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21"/>
                <w:sz w:val="21"/>
                <w:szCs w:val="21"/>
              </w:rPr>
              <w:t xml:space="preserve">3. 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1"/>
                <w:szCs w:val="21"/>
              </w:rPr>
              <w:t>强化知识产权金融创新工作</w:t>
            </w:r>
            <w:r>
              <w:rPr>
                <w:rFonts w:ascii="微软雅黑" w:hAnsi="微软雅黑" w:eastAsia="微软雅黑" w:cs="微软雅黑"/>
                <w:color w:val="231F20"/>
                <w:spacing w:val="-18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21"/>
                <w:sz w:val="21"/>
                <w:szCs w:val="21"/>
              </w:rPr>
              <w:t>,</w:t>
            </w:r>
            <w:r>
              <w:rPr>
                <w:color w:val="231F20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1"/>
                <w:szCs w:val="21"/>
              </w:rPr>
              <w:t>知识产权质押融资增幅达到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-17"/>
                <w:sz w:val="21"/>
                <w:szCs w:val="21"/>
              </w:rPr>
              <w:t>10%</w:t>
            </w:r>
            <w:r>
              <w:rPr>
                <w:rFonts w:ascii="微软雅黑" w:hAnsi="微软雅黑" w:eastAsia="微软雅黑" w:cs="微软雅黑"/>
                <w:color w:val="231F20"/>
                <w:spacing w:val="-17"/>
                <w:sz w:val="21"/>
                <w:szCs w:val="21"/>
              </w:rPr>
              <w:t>。</w:t>
            </w:r>
          </w:p>
          <w:p>
            <w:pPr>
              <w:pStyle w:val="6"/>
              <w:spacing w:before="5" w:line="194" w:lineRule="auto"/>
              <w:ind w:left="55" w:right="50" w:firstLine="1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4"/>
                <w:sz w:val="21"/>
                <w:szCs w:val="21"/>
              </w:rPr>
              <w:t>4.</w:t>
            </w:r>
            <w:r>
              <w:rPr>
                <w:color w:val="231F2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持续推进知识产权强企建设，开展知识产权示范、优势企业培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1"/>
                <w:szCs w:val="21"/>
              </w:rPr>
              <w:t>育，组织引导企业贯彻知识产权管理规范，继续开展知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识产权试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点示范旗区建设。</w:t>
            </w:r>
          </w:p>
        </w:tc>
        <w:tc>
          <w:tcPr>
            <w:tcW w:w="1301" w:type="dxa"/>
            <w:vAlign w:val="top"/>
          </w:tcPr>
          <w:p>
            <w:pPr>
              <w:pStyle w:val="6"/>
              <w:spacing w:line="266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6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7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86" w:line="175" w:lineRule="auto"/>
              <w:ind w:left="3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13"/>
                <w:sz w:val="21"/>
                <w:szCs w:val="21"/>
              </w:rPr>
              <w:t>12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21"/>
                <w:szCs w:val="21"/>
              </w:rPr>
              <w:t>月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line="266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6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6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6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6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6" w:lineRule="auto"/>
              <w:rPr>
                <w:sz w:val="21"/>
                <w:szCs w:val="21"/>
              </w:rPr>
            </w:pPr>
          </w:p>
          <w:p>
            <w:pPr>
              <w:spacing w:before="85" w:line="183" w:lineRule="auto"/>
              <w:ind w:left="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各旗区局</w:t>
            </w:r>
          </w:p>
        </w:tc>
        <w:tc>
          <w:tcPr>
            <w:tcW w:w="1667" w:type="dxa"/>
            <w:tcBorders>
              <w:right w:val="single" w:color="231F20" w:sz="6" w:space="0"/>
            </w:tcBorders>
            <w:vAlign w:val="top"/>
          </w:tcPr>
          <w:p>
            <w:pPr>
              <w:pStyle w:val="6"/>
              <w:spacing w:line="243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43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44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44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44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44" w:lineRule="auto"/>
              <w:rPr>
                <w:sz w:val="21"/>
                <w:szCs w:val="21"/>
              </w:rPr>
            </w:pPr>
          </w:p>
          <w:p>
            <w:pPr>
              <w:spacing w:before="86" w:line="187" w:lineRule="auto"/>
              <w:ind w:left="30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</w:t>
            </w:r>
          </w:p>
          <w:p>
            <w:pPr>
              <w:spacing w:line="182" w:lineRule="auto"/>
              <w:ind w:left="4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21"/>
                <w:szCs w:val="21"/>
              </w:rPr>
              <w:t>发展科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atLeast"/>
        </w:trPr>
        <w:tc>
          <w:tcPr>
            <w:tcW w:w="907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pStyle w:val="6"/>
              <w:spacing w:line="279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79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79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79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79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79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57" w:line="182" w:lineRule="auto"/>
              <w:ind w:left="232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7</w:t>
            </w:r>
          </w:p>
        </w:tc>
        <w:tc>
          <w:tcPr>
            <w:tcW w:w="1040" w:type="dxa"/>
            <w:vMerge w:val="continue"/>
            <w:tcBorders>
              <w:top w:val="nil"/>
              <w:bottom w:val="single" w:color="231F20" w:sz="6" w:space="0"/>
            </w:tcBorders>
            <w:vAlign w:val="top"/>
          </w:tcPr>
          <w:p>
            <w:pPr>
              <w:pStyle w:val="6"/>
              <w:rPr>
                <w:sz w:val="21"/>
                <w:szCs w:val="21"/>
              </w:rPr>
            </w:pPr>
          </w:p>
        </w:tc>
        <w:tc>
          <w:tcPr>
            <w:tcW w:w="2499" w:type="dxa"/>
            <w:tcBorders>
              <w:bottom w:val="single" w:color="231F20" w:sz="6" w:space="0"/>
            </w:tcBorders>
            <w:vAlign w:val="top"/>
          </w:tcPr>
          <w:p>
            <w:pPr>
              <w:pStyle w:val="6"/>
              <w:spacing w:line="26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8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8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8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86" w:line="185" w:lineRule="auto"/>
              <w:ind w:left="52" w:right="57" w:firstLine="1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3"/>
                <w:sz w:val="21"/>
                <w:szCs w:val="21"/>
              </w:rPr>
              <w:t>2023</w:t>
            </w:r>
            <w:r>
              <w:rPr>
                <w:color w:val="231F20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1"/>
                <w:szCs w:val="21"/>
              </w:rPr>
              <w:t>年全市市场监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1"/>
                <w:szCs w:val="21"/>
              </w:rPr>
              <w:t>管工作会暨党风廉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1"/>
                <w:szCs w:val="21"/>
              </w:rPr>
              <w:t>政建设工作会议</w:t>
            </w:r>
          </w:p>
        </w:tc>
        <w:tc>
          <w:tcPr>
            <w:tcW w:w="5853" w:type="dxa"/>
            <w:tcBorders>
              <w:bottom w:val="single" w:color="231F20" w:sz="6" w:space="0"/>
            </w:tcBorders>
            <w:vAlign w:val="top"/>
          </w:tcPr>
          <w:p>
            <w:pPr>
              <w:pStyle w:val="6"/>
              <w:spacing w:line="313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313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313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86" w:line="184" w:lineRule="auto"/>
              <w:ind w:left="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4"/>
                <w:sz w:val="21"/>
                <w:szCs w:val="21"/>
              </w:rPr>
              <w:t>1.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每万人口高价值发明专利拥有量达到</w:t>
            </w:r>
            <w:r>
              <w:rPr>
                <w:rFonts w:ascii="微软雅黑" w:hAnsi="微软雅黑" w:eastAsia="微软雅黑" w:cs="微软雅黑"/>
                <w:color w:val="231F20"/>
                <w:spacing w:val="-10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4"/>
                <w:sz w:val="21"/>
                <w:szCs w:val="21"/>
              </w:rPr>
              <w:t>1.6</w:t>
            </w:r>
            <w:r>
              <w:rPr>
                <w:color w:val="231F20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件以上。</w:t>
            </w:r>
          </w:p>
          <w:p>
            <w:pPr>
              <w:pStyle w:val="6"/>
              <w:spacing w:before="1" w:line="183" w:lineRule="auto"/>
              <w:ind w:left="68" w:right="50" w:hanging="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5"/>
                <w:sz w:val="21"/>
                <w:szCs w:val="21"/>
              </w:rPr>
              <w:t>2.</w:t>
            </w:r>
            <w:r>
              <w:rPr>
                <w:color w:val="231F20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1"/>
                <w:szCs w:val="21"/>
              </w:rPr>
              <w:t>商标有效注册量达到</w:t>
            </w:r>
            <w:r>
              <w:rPr>
                <w:rFonts w:ascii="微软雅黑" w:hAnsi="微软雅黑" w:eastAsia="微软雅黑" w:cs="微软雅黑"/>
                <w:color w:val="231F20"/>
                <w:spacing w:val="-17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5"/>
                <w:sz w:val="21"/>
                <w:szCs w:val="21"/>
              </w:rPr>
              <w:t>5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1"/>
                <w:szCs w:val="21"/>
              </w:rPr>
              <w:t>万件以上，各旗区商标有效注册量增长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color w:val="231F20"/>
                <w:spacing w:val="-11"/>
                <w:sz w:val="21"/>
                <w:szCs w:val="21"/>
              </w:rPr>
              <w:t xml:space="preserve">10% </w:t>
            </w:r>
            <w:r>
              <w:rPr>
                <w:rFonts w:ascii="微软雅黑" w:hAnsi="微软雅黑" w:eastAsia="微软雅黑" w:cs="微软雅黑"/>
                <w:color w:val="231F20"/>
                <w:spacing w:val="-11"/>
                <w:sz w:val="21"/>
                <w:szCs w:val="21"/>
              </w:rPr>
              <w:t>以上。</w:t>
            </w:r>
          </w:p>
          <w:p>
            <w:pPr>
              <w:pStyle w:val="6"/>
              <w:spacing w:before="12" w:line="185" w:lineRule="auto"/>
              <w:ind w:left="55" w:right="50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4"/>
                <w:sz w:val="21"/>
                <w:szCs w:val="21"/>
              </w:rPr>
              <w:t>3.</w:t>
            </w:r>
            <w:r>
              <w:rPr>
                <w:color w:val="231F2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1"/>
                <w:szCs w:val="21"/>
              </w:rPr>
              <w:t>实施地理标志运用促进工程，大力培育地理标志商标、地理标</w:t>
            </w:r>
            <w:r>
              <w:rPr>
                <w:rFonts w:ascii="微软雅黑" w:hAnsi="微软雅黑" w:eastAsia="微软雅黑" w:cs="微软雅黑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1"/>
                <w:szCs w:val="21"/>
              </w:rPr>
              <w:t>志保护产品。</w:t>
            </w:r>
          </w:p>
          <w:p>
            <w:pPr>
              <w:spacing w:before="1" w:line="209" w:lineRule="auto"/>
              <w:ind w:left="5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1"/>
                <w:szCs w:val="21"/>
              </w:rPr>
              <w:t>各旗区围绕以上重点工作全力配合市局开展相关业务。</w:t>
            </w:r>
          </w:p>
        </w:tc>
        <w:tc>
          <w:tcPr>
            <w:tcW w:w="1301" w:type="dxa"/>
            <w:tcBorders>
              <w:bottom w:val="single" w:color="231F20" w:sz="6" w:space="0"/>
            </w:tcBorders>
            <w:vAlign w:val="top"/>
          </w:tcPr>
          <w:p>
            <w:pPr>
              <w:pStyle w:val="6"/>
              <w:spacing w:line="26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8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8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8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8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8" w:lineRule="auto"/>
              <w:rPr>
                <w:sz w:val="21"/>
                <w:szCs w:val="21"/>
              </w:rPr>
            </w:pPr>
          </w:p>
          <w:p>
            <w:pPr>
              <w:pStyle w:val="6"/>
              <w:spacing w:before="86" w:line="175" w:lineRule="auto"/>
              <w:ind w:left="30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color w:val="231F20"/>
                <w:spacing w:val="-13"/>
                <w:sz w:val="21"/>
                <w:szCs w:val="21"/>
              </w:rPr>
              <w:t>12</w:t>
            </w:r>
            <w:r>
              <w:rPr>
                <w:color w:val="231F2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-13"/>
                <w:sz w:val="21"/>
                <w:szCs w:val="21"/>
              </w:rPr>
              <w:t>月</w:t>
            </w:r>
          </w:p>
        </w:tc>
        <w:tc>
          <w:tcPr>
            <w:tcW w:w="1120" w:type="dxa"/>
            <w:tcBorders>
              <w:bottom w:val="single" w:color="231F20" w:sz="6" w:space="0"/>
            </w:tcBorders>
            <w:vAlign w:val="top"/>
          </w:tcPr>
          <w:p>
            <w:pPr>
              <w:pStyle w:val="6"/>
              <w:spacing w:line="26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7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68" w:lineRule="auto"/>
              <w:rPr>
                <w:sz w:val="21"/>
                <w:szCs w:val="21"/>
              </w:rPr>
            </w:pPr>
          </w:p>
          <w:p>
            <w:pPr>
              <w:spacing w:before="86" w:line="183" w:lineRule="auto"/>
              <w:ind w:left="7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各旗区局</w:t>
            </w:r>
          </w:p>
        </w:tc>
        <w:tc>
          <w:tcPr>
            <w:tcW w:w="1667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6"/>
              <w:spacing w:line="244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45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45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45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45" w:lineRule="auto"/>
              <w:rPr>
                <w:sz w:val="21"/>
                <w:szCs w:val="21"/>
              </w:rPr>
            </w:pPr>
          </w:p>
          <w:p>
            <w:pPr>
              <w:pStyle w:val="6"/>
              <w:spacing w:line="245" w:lineRule="auto"/>
              <w:rPr>
                <w:sz w:val="21"/>
                <w:szCs w:val="21"/>
              </w:rPr>
            </w:pPr>
          </w:p>
          <w:p>
            <w:pPr>
              <w:spacing w:before="86" w:line="187" w:lineRule="auto"/>
              <w:ind w:left="30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1"/>
                <w:szCs w:val="21"/>
              </w:rPr>
              <w:t>知识产权</w:t>
            </w:r>
          </w:p>
          <w:p>
            <w:pPr>
              <w:spacing w:line="182" w:lineRule="auto"/>
              <w:ind w:left="4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21"/>
                <w:szCs w:val="21"/>
              </w:rPr>
              <w:t>发展科</w:t>
            </w:r>
          </w:p>
        </w:tc>
      </w:tr>
    </w:tbl>
    <w:p>
      <w:pPr>
        <w:pStyle w:val="2"/>
        <w:spacing w:line="188" w:lineRule="exact"/>
        <w:rPr>
          <w:sz w:val="16"/>
        </w:rPr>
      </w:pPr>
    </w:p>
    <w:sectPr>
      <w:footerReference r:id="rId7" w:type="default"/>
      <w:pgSz w:w="16838" w:h="11906"/>
      <w:pgMar w:top="400" w:right="2084" w:bottom="1351" w:left="2091" w:header="0" w:footer="11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60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FkZWI1YzkzMjUzMzYxM2I5YzY1OWY4NzRkMWU2NDAifQ=="/>
  </w:docVars>
  <w:rsids>
    <w:rsidRoot w:val="00000000"/>
    <w:rsid w:val="2B2771D3"/>
    <w:rsid w:val="3C087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2023-10-18T14:17:00Z</dcterms:created>
  <dc:creator>Administrator</dc:creator>
  <cp:lastModifiedBy>小菇凉</cp:lastModifiedBy>
  <dcterms:modified xsi:type="dcterms:W3CDTF">2023-10-26T02:10:42Z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2023-10-25T16:03:19Z</vt:filetime>
  </property>
  <property fmtid="{D5CDD505-2E9C-101B-9397-08002B2CF9AE}" pid="4" name="KSOProductBuildVer">
    <vt:lpwstr>2052-12.1.0.15712</vt:lpwstr>
  </property>
  <property fmtid="{D5CDD505-2E9C-101B-9397-08002B2CF9AE}" pid="5" name="ICV">
    <vt:lpwstr>F5DDF982E23B479281BD64A8BFB380E0_13</vt:lpwstr>
  </property>
</Properties>
</file>