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方正小标宋简体"/>
          <w:color w:val="000000"/>
          <w:sz w:val="32"/>
          <w:szCs w:val="32"/>
        </w:rPr>
      </w:pPr>
      <w:r>
        <w:rPr>
          <w:rFonts w:hint="eastAsia" w:eastAsia="方正小标宋简体"/>
          <w:color w:val="000000"/>
          <w:sz w:val="32"/>
          <w:szCs w:val="32"/>
        </w:rPr>
        <w:t>灭火毯产品质量监督抽查实施细则</w:t>
      </w:r>
    </w:p>
    <w:p>
      <w:pPr>
        <w:snapToGrid w:val="0"/>
        <w:spacing w:line="440" w:lineRule="exact"/>
        <w:ind w:firstLine="359"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t>每批次产品抽取样</w:t>
      </w:r>
      <w:r>
        <w:rPr>
          <w:rFonts w:eastAsia="宋体"/>
        </w:rPr>
        <w:t>品</w:t>
      </w:r>
      <w:r>
        <w:rPr>
          <w:rFonts w:hint="eastAsia" w:eastAsia="宋体"/>
          <w:lang w:val="en-US" w:eastAsia="zh-CN"/>
        </w:rPr>
        <w:t>6条</w:t>
      </w:r>
      <w:r>
        <w:rPr>
          <w:rFonts w:eastAsia="宋体"/>
        </w:rPr>
        <w:t>，其中</w:t>
      </w:r>
      <w:r>
        <w:rPr>
          <w:rFonts w:hint="eastAsia" w:eastAsia="宋体"/>
          <w:lang w:val="en-US" w:eastAsia="zh-CN"/>
        </w:rPr>
        <w:t>3条</w:t>
      </w:r>
      <w:r>
        <w:rPr>
          <w:rFonts w:eastAsia="宋体"/>
        </w:rPr>
        <w:t>为检验样品，</w:t>
      </w:r>
      <w:r>
        <w:rPr>
          <w:rFonts w:hint="eastAsia" w:eastAsia="宋体"/>
          <w:lang w:val="en-US" w:eastAsia="zh-CN"/>
        </w:rPr>
        <w:t>3条</w:t>
      </w:r>
      <w:r>
        <w:rPr>
          <w:rFonts w:eastAsia="宋体"/>
        </w:rPr>
        <w:t>为备用样</w:t>
      </w:r>
      <w:r>
        <w:t>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rFonts w:hint="default" w:eastAsia="宋体"/>
          <w:color w:val="000000"/>
          <w:szCs w:val="21"/>
          <w:lang w:val="en-US" w:eastAsia="zh-CN"/>
        </w:rPr>
      </w:pPr>
      <w:r>
        <w:rPr>
          <w:rFonts w:hint="eastAsia"/>
          <w:color w:val="000000"/>
          <w:szCs w:val="21"/>
          <w:lang w:val="en-US" w:eastAsia="zh-CN"/>
        </w:rPr>
        <w:t>表1灭火毯</w:t>
      </w:r>
    </w:p>
    <w:tbl>
      <w:tblPr>
        <w:tblStyle w:val="7"/>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760"/>
        <w:gridCol w:w="2880"/>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color w:val="000000"/>
                <w:szCs w:val="21"/>
              </w:rPr>
            </w:pPr>
            <w:r>
              <w:rPr>
                <w:color w:val="000000"/>
                <w:szCs w:val="21"/>
              </w:rPr>
              <w:t>序号</w:t>
            </w:r>
          </w:p>
        </w:tc>
        <w:tc>
          <w:tcPr>
            <w:tcW w:w="1471" w:type="pct"/>
            <w:vAlign w:val="center"/>
          </w:tcPr>
          <w:p>
            <w:pPr>
              <w:snapToGrid w:val="0"/>
              <w:spacing w:line="240" w:lineRule="auto"/>
              <w:jc w:val="center"/>
              <w:rPr>
                <w:color w:val="000000"/>
                <w:szCs w:val="21"/>
              </w:rPr>
            </w:pPr>
            <w:r>
              <w:rPr>
                <w:color w:val="000000"/>
                <w:szCs w:val="21"/>
              </w:rPr>
              <w:t>检验项目</w:t>
            </w:r>
          </w:p>
        </w:tc>
        <w:tc>
          <w:tcPr>
            <w:tcW w:w="1535" w:type="pct"/>
            <w:vAlign w:val="center"/>
          </w:tcPr>
          <w:p>
            <w:pPr>
              <w:snapToGrid w:val="0"/>
              <w:spacing w:line="240" w:lineRule="auto"/>
              <w:jc w:val="center"/>
              <w:rPr>
                <w:color w:val="000000"/>
                <w:szCs w:val="21"/>
              </w:rPr>
            </w:pPr>
            <w:r>
              <w:rPr>
                <w:rFonts w:hint="eastAsia"/>
                <w:color w:val="000000"/>
                <w:szCs w:val="21"/>
              </w:rPr>
              <w:t>检验依据</w:t>
            </w:r>
          </w:p>
        </w:tc>
        <w:tc>
          <w:tcPr>
            <w:tcW w:w="1485" w:type="pct"/>
            <w:vAlign w:val="center"/>
          </w:tcPr>
          <w:p>
            <w:pPr>
              <w:snapToGrid w:val="0"/>
              <w:spacing w:line="240" w:lineRule="auto"/>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color w:val="000000"/>
                <w:szCs w:val="21"/>
              </w:rPr>
            </w:pPr>
            <w:r>
              <w:rPr>
                <w:color w:val="000000"/>
                <w:szCs w:val="21"/>
              </w:rPr>
              <w:t>1</w:t>
            </w:r>
          </w:p>
        </w:tc>
        <w:tc>
          <w:tcPr>
            <w:tcW w:w="1471"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szCs w:val="21"/>
                <w:highlight w:val="none"/>
              </w:rPr>
              <w:t>外观与结构</w:t>
            </w:r>
          </w:p>
        </w:tc>
        <w:tc>
          <w:tcPr>
            <w:tcW w:w="153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rPr>
                <w:szCs w:val="21"/>
              </w:rPr>
            </w:pPr>
            <w:r>
              <w:rPr>
                <w:rFonts w:hint="eastAsia"/>
                <w:highlight w:val="none"/>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color w:val="000000"/>
                <w:szCs w:val="21"/>
              </w:rPr>
            </w:pPr>
            <w:r>
              <w:rPr>
                <w:color w:val="000000"/>
                <w:szCs w:val="21"/>
              </w:rPr>
              <w:t>2</w:t>
            </w:r>
          </w:p>
        </w:tc>
        <w:tc>
          <w:tcPr>
            <w:tcW w:w="1471"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szCs w:val="21"/>
                <w:highlight w:val="none"/>
              </w:rPr>
              <w:t>尺寸</w:t>
            </w:r>
          </w:p>
        </w:tc>
        <w:tc>
          <w:tcPr>
            <w:tcW w:w="153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rPr>
                <w:szCs w:val="21"/>
              </w:rPr>
            </w:pPr>
            <w:r>
              <w:rPr>
                <w:rFonts w:hint="eastAsia"/>
                <w:highlight w:val="none"/>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color w:val="000000"/>
                <w:szCs w:val="21"/>
              </w:rPr>
            </w:pPr>
            <w:r>
              <w:rPr>
                <w:color w:val="000000"/>
                <w:szCs w:val="21"/>
              </w:rPr>
              <w:t>3</w:t>
            </w:r>
          </w:p>
        </w:tc>
        <w:tc>
          <w:tcPr>
            <w:tcW w:w="1471"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szCs w:val="21"/>
                <w:highlight w:val="none"/>
              </w:rPr>
              <w:t>质量</w:t>
            </w:r>
          </w:p>
        </w:tc>
        <w:tc>
          <w:tcPr>
            <w:tcW w:w="153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rPr>
                <w:color w:val="000000"/>
                <w:szCs w:val="21"/>
              </w:rPr>
            </w:pPr>
            <w:r>
              <w:rPr>
                <w:rFonts w:hint="eastAsia"/>
                <w:highlight w:val="none"/>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color w:val="000000"/>
                <w:szCs w:val="21"/>
              </w:rPr>
            </w:pPr>
            <w:r>
              <w:rPr>
                <w:color w:val="000000"/>
                <w:szCs w:val="21"/>
              </w:rPr>
              <w:t>4</w:t>
            </w:r>
          </w:p>
        </w:tc>
        <w:tc>
          <w:tcPr>
            <w:tcW w:w="1471" w:type="pct"/>
            <w:vAlign w:val="center"/>
          </w:tcPr>
          <w:p>
            <w:pPr>
              <w:widowControl/>
              <w:numPr>
                <w:ilvl w:val="0"/>
                <w:numId w:val="0"/>
              </w:numPr>
              <w:spacing w:line="240" w:lineRule="auto"/>
              <w:ind w:left="0" w:leftChars="0" w:firstLine="0" w:firstLineChars="0"/>
              <w:jc w:val="center"/>
              <w:rPr>
                <w:color w:val="000000"/>
                <w:szCs w:val="21"/>
              </w:rPr>
            </w:pPr>
            <w:r>
              <w:rPr>
                <w:rFonts w:hint="eastAsia" w:ascii="宋体" w:hAnsi="宋体" w:eastAsia="宋体" w:cs="宋体"/>
                <w:color w:val="000000"/>
                <w:kern w:val="0"/>
                <w:szCs w:val="21"/>
                <w:highlight w:val="none"/>
              </w:rPr>
              <w:t>操作性能</w:t>
            </w:r>
          </w:p>
        </w:tc>
        <w:tc>
          <w:tcPr>
            <w:tcW w:w="153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rPr>
                <w:color w:val="000000"/>
                <w:szCs w:val="21"/>
              </w:rPr>
            </w:pPr>
            <w:r>
              <w:rPr>
                <w:rFonts w:hint="eastAsia"/>
                <w:highlight w:val="none"/>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5</w:t>
            </w:r>
          </w:p>
        </w:tc>
        <w:tc>
          <w:tcPr>
            <w:tcW w:w="1471" w:type="pct"/>
            <w:vAlign w:val="center"/>
          </w:tcPr>
          <w:p>
            <w:pPr>
              <w:widowControl/>
              <w:numPr>
                <w:ilvl w:val="0"/>
                <w:numId w:val="0"/>
              </w:numPr>
              <w:spacing w:line="240" w:lineRule="auto"/>
              <w:ind w:left="0" w:leftChars="0" w:firstLine="0" w:firstLineChars="0"/>
              <w:jc w:val="center"/>
            </w:pPr>
            <w:r>
              <w:rPr>
                <w:rFonts w:hint="eastAsia" w:ascii="宋体" w:hAnsi="宋体" w:eastAsia="宋体" w:cs="宋体"/>
                <w:color w:val="000000"/>
                <w:kern w:val="0"/>
                <w:szCs w:val="21"/>
                <w:highlight w:val="none"/>
              </w:rPr>
              <w:t>柔软性能</w:t>
            </w:r>
          </w:p>
        </w:tc>
        <w:tc>
          <w:tcPr>
            <w:tcW w:w="1535" w:type="pct"/>
            <w:vAlign w:val="center"/>
          </w:tcPr>
          <w:p>
            <w:pPr>
              <w:widowControl/>
              <w:numPr>
                <w:ilvl w:val="0"/>
                <w:numId w:val="0"/>
              </w:numPr>
              <w:spacing w:line="240" w:lineRule="auto"/>
              <w:ind w:left="0" w:leftChars="0" w:firstLine="0" w:firstLineChars="0"/>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pPr>
            <w:r>
              <w:rPr>
                <w:rFonts w:hint="eastAsia"/>
                <w:highlight w:val="none"/>
              </w:rPr>
              <w:t>XF 1205-2014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7" w:type="pct"/>
            <w:vAlign w:val="center"/>
          </w:tcPr>
          <w:p>
            <w:pPr>
              <w:snapToGrid w:val="0"/>
              <w:spacing w:line="240" w:lineRule="auto"/>
              <w:jc w:val="center"/>
              <w:rPr>
                <w:rFonts w:hint="eastAsia" w:eastAsia="宋体"/>
                <w:color w:val="000000"/>
                <w:szCs w:val="21"/>
                <w:lang w:val="en-US" w:eastAsia="zh-CN"/>
              </w:rPr>
            </w:pPr>
            <w:r>
              <w:rPr>
                <w:rFonts w:hint="eastAsia"/>
                <w:color w:val="000000"/>
                <w:szCs w:val="21"/>
                <w:lang w:val="en-US" w:eastAsia="zh-CN"/>
              </w:rPr>
              <w:t>6</w:t>
            </w:r>
          </w:p>
        </w:tc>
        <w:tc>
          <w:tcPr>
            <w:tcW w:w="1471" w:type="pct"/>
            <w:vAlign w:val="center"/>
          </w:tcPr>
          <w:p>
            <w:pPr>
              <w:spacing w:line="240" w:lineRule="auto"/>
              <w:jc w:val="center"/>
            </w:pPr>
            <w:r>
              <w:rPr>
                <w:rFonts w:hint="eastAsia" w:ascii="宋体" w:hAnsi="宋体" w:eastAsia="宋体" w:cs="宋体"/>
                <w:color w:val="000000"/>
                <w:kern w:val="0"/>
                <w:szCs w:val="21"/>
                <w:highlight w:val="none"/>
              </w:rPr>
              <w:t>标志</w:t>
            </w:r>
          </w:p>
        </w:tc>
        <w:tc>
          <w:tcPr>
            <w:tcW w:w="1535" w:type="pct"/>
            <w:vAlign w:val="center"/>
          </w:tcPr>
          <w:p>
            <w:pPr>
              <w:spacing w:line="240" w:lineRule="auto"/>
              <w:jc w:val="center"/>
              <w:rPr>
                <w:rFonts w:hint="eastAsia" w:ascii="宋体" w:hAnsi="宋体" w:eastAsia="宋体" w:cs="宋体"/>
                <w:color w:val="000000"/>
                <w:kern w:val="0"/>
                <w:szCs w:val="21"/>
                <w:highlight w:val="none"/>
              </w:rPr>
            </w:pPr>
            <w:r>
              <w:rPr>
                <w:rFonts w:hint="eastAsia"/>
              </w:rPr>
              <w:t>XF 1205-2014</w:t>
            </w:r>
          </w:p>
        </w:tc>
        <w:tc>
          <w:tcPr>
            <w:tcW w:w="1485" w:type="pct"/>
            <w:vAlign w:val="center"/>
          </w:tcPr>
          <w:p>
            <w:pPr>
              <w:spacing w:line="240" w:lineRule="auto"/>
              <w:jc w:val="center"/>
            </w:pPr>
            <w:r>
              <w:rPr>
                <w:rFonts w:hint="eastAsia"/>
                <w:highlight w:val="none"/>
              </w:rPr>
              <w:t>XF 1205-2014</w:t>
            </w:r>
          </w:p>
        </w:tc>
      </w:tr>
    </w:tbl>
    <w:p>
      <w:pPr>
        <w:adjustRightInd w:val="0"/>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360" w:lineRule="auto"/>
        <w:rPr>
          <w:rFonts w:eastAsia="黑体"/>
          <w:color w:val="000000"/>
          <w:szCs w:val="21"/>
        </w:rPr>
      </w:pPr>
      <w:r>
        <w:rPr>
          <w:rFonts w:eastAsia="黑体"/>
          <w:color w:val="000000"/>
          <w:szCs w:val="21"/>
        </w:rPr>
        <w:t>3 判定规则</w:t>
      </w:r>
      <w:bookmarkStart w:id="0" w:name="_GoBack"/>
      <w:bookmarkEnd w:id="0"/>
    </w:p>
    <w:p>
      <w:pPr>
        <w:snapToGrid w:val="0"/>
        <w:spacing w:line="440" w:lineRule="exact"/>
        <w:rPr>
          <w:color w:val="000000"/>
          <w:szCs w:val="21"/>
        </w:rPr>
      </w:pPr>
      <w:r>
        <w:rPr>
          <w:color w:val="000000"/>
          <w:szCs w:val="21"/>
        </w:rPr>
        <w:t>3.1依据标准</w:t>
      </w:r>
    </w:p>
    <w:p>
      <w:pPr>
        <w:snapToGrid w:val="0"/>
        <w:spacing w:line="440" w:lineRule="exact"/>
        <w:ind w:firstLine="420" w:firstLineChars="200"/>
      </w:pPr>
      <w:r>
        <w:rPr>
          <w:rFonts w:hint="eastAsia"/>
        </w:rPr>
        <w:t>XF 1205-2014</w:t>
      </w:r>
      <w:r>
        <w:t xml:space="preserve"> </w:t>
      </w:r>
      <w:r>
        <w:rPr>
          <w:rFonts w:hint="eastAsia"/>
        </w:rPr>
        <w:t>灭火毯</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20" w:firstLineChars="200"/>
        <w:rPr>
          <w:color w:val="000000"/>
          <w:szCs w:val="21"/>
        </w:rPr>
      </w:pPr>
      <w:r>
        <w:rPr>
          <w:color w:val="000000"/>
          <w:szCs w:val="21"/>
        </w:rPr>
        <w:t>若被检产品明示的质量要求缺少本细则中检验项目依据的推荐性标准要求时，该项目不参与判定。</w:t>
      </w:r>
    </w:p>
    <w:p>
      <w:pPr>
        <w:snapToGrid w:val="0"/>
        <w:spacing w:line="440" w:lineRule="exact"/>
        <w:rPr>
          <w:color w:val="FF0000"/>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66C58-DFA5-4AA7-9A7C-26900E2B13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86C4CF4A-BD26-49A5-A0B9-401FCC9471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TY5ZWZkMWRiZTVmYTYzZTQ5MWFhZmRhZTBhMjEifQ=="/>
  </w:docVars>
  <w:rsids>
    <w:rsidRoot w:val="00172A27"/>
    <w:rsid w:val="00051A44"/>
    <w:rsid w:val="00081CBD"/>
    <w:rsid w:val="000976DE"/>
    <w:rsid w:val="000B7BA8"/>
    <w:rsid w:val="00123D1C"/>
    <w:rsid w:val="00172A27"/>
    <w:rsid w:val="001809DD"/>
    <w:rsid w:val="00195559"/>
    <w:rsid w:val="001A057E"/>
    <w:rsid w:val="00232530"/>
    <w:rsid w:val="00253624"/>
    <w:rsid w:val="002D7F8A"/>
    <w:rsid w:val="002E0D1D"/>
    <w:rsid w:val="003203A3"/>
    <w:rsid w:val="00365CBE"/>
    <w:rsid w:val="003A3D25"/>
    <w:rsid w:val="003A7D30"/>
    <w:rsid w:val="003C388C"/>
    <w:rsid w:val="003D09A1"/>
    <w:rsid w:val="003E61BF"/>
    <w:rsid w:val="004021C4"/>
    <w:rsid w:val="004104AC"/>
    <w:rsid w:val="00445E86"/>
    <w:rsid w:val="0045434D"/>
    <w:rsid w:val="00474E04"/>
    <w:rsid w:val="004D0C5A"/>
    <w:rsid w:val="004D184C"/>
    <w:rsid w:val="004E1396"/>
    <w:rsid w:val="004E6C21"/>
    <w:rsid w:val="00563EBC"/>
    <w:rsid w:val="005B0EF1"/>
    <w:rsid w:val="006E1171"/>
    <w:rsid w:val="006F0971"/>
    <w:rsid w:val="0072334C"/>
    <w:rsid w:val="007D7863"/>
    <w:rsid w:val="007F7411"/>
    <w:rsid w:val="00864CC8"/>
    <w:rsid w:val="00895BEA"/>
    <w:rsid w:val="008A3497"/>
    <w:rsid w:val="00917A54"/>
    <w:rsid w:val="00990FC5"/>
    <w:rsid w:val="009D6597"/>
    <w:rsid w:val="00A23D98"/>
    <w:rsid w:val="00A43553"/>
    <w:rsid w:val="00AC5391"/>
    <w:rsid w:val="00B65F23"/>
    <w:rsid w:val="00BA6893"/>
    <w:rsid w:val="00BF2B8C"/>
    <w:rsid w:val="00C26074"/>
    <w:rsid w:val="00C83B0A"/>
    <w:rsid w:val="00CE1E0C"/>
    <w:rsid w:val="00CE277E"/>
    <w:rsid w:val="00D56867"/>
    <w:rsid w:val="00D91112"/>
    <w:rsid w:val="00E02A7F"/>
    <w:rsid w:val="00E07880"/>
    <w:rsid w:val="00E4526D"/>
    <w:rsid w:val="00E82621"/>
    <w:rsid w:val="00F61BE2"/>
    <w:rsid w:val="00F77C9A"/>
    <w:rsid w:val="00FB576C"/>
    <w:rsid w:val="00FD2AA6"/>
    <w:rsid w:val="00FE7E8A"/>
    <w:rsid w:val="01050F22"/>
    <w:rsid w:val="03E8026C"/>
    <w:rsid w:val="04223EC3"/>
    <w:rsid w:val="04455AD9"/>
    <w:rsid w:val="053A5D1F"/>
    <w:rsid w:val="06330511"/>
    <w:rsid w:val="0B7369C9"/>
    <w:rsid w:val="0E6C49AA"/>
    <w:rsid w:val="0FBB5BB7"/>
    <w:rsid w:val="11375E5E"/>
    <w:rsid w:val="137155C8"/>
    <w:rsid w:val="1536339B"/>
    <w:rsid w:val="16A42B33"/>
    <w:rsid w:val="17C41DB0"/>
    <w:rsid w:val="1B53427F"/>
    <w:rsid w:val="1C80396E"/>
    <w:rsid w:val="1D174936"/>
    <w:rsid w:val="1E6A4663"/>
    <w:rsid w:val="1EBD4792"/>
    <w:rsid w:val="1FD955FC"/>
    <w:rsid w:val="20485A20"/>
    <w:rsid w:val="21426C04"/>
    <w:rsid w:val="21464F13"/>
    <w:rsid w:val="21A45E03"/>
    <w:rsid w:val="21C9561A"/>
    <w:rsid w:val="26973A9B"/>
    <w:rsid w:val="26C2385A"/>
    <w:rsid w:val="27053916"/>
    <w:rsid w:val="2AB7785E"/>
    <w:rsid w:val="2E7A26A0"/>
    <w:rsid w:val="2F524A74"/>
    <w:rsid w:val="2F74526F"/>
    <w:rsid w:val="360867E3"/>
    <w:rsid w:val="36953AD3"/>
    <w:rsid w:val="38256B53"/>
    <w:rsid w:val="39AA099D"/>
    <w:rsid w:val="3E595E2E"/>
    <w:rsid w:val="3F782547"/>
    <w:rsid w:val="3F7B78A2"/>
    <w:rsid w:val="41581FE3"/>
    <w:rsid w:val="44937BC0"/>
    <w:rsid w:val="45DB214B"/>
    <w:rsid w:val="474A448A"/>
    <w:rsid w:val="4809790C"/>
    <w:rsid w:val="48C24E10"/>
    <w:rsid w:val="4B705CC2"/>
    <w:rsid w:val="4CD23888"/>
    <w:rsid w:val="4DF21A2E"/>
    <w:rsid w:val="4EA242AD"/>
    <w:rsid w:val="4F876573"/>
    <w:rsid w:val="4FA72771"/>
    <w:rsid w:val="4FC76963"/>
    <w:rsid w:val="53C52AE3"/>
    <w:rsid w:val="55357FE7"/>
    <w:rsid w:val="56C1236A"/>
    <w:rsid w:val="5A57446E"/>
    <w:rsid w:val="5AA916F6"/>
    <w:rsid w:val="5AF25FB4"/>
    <w:rsid w:val="5B3E21DC"/>
    <w:rsid w:val="5C9F35EA"/>
    <w:rsid w:val="5EE66E12"/>
    <w:rsid w:val="5FB92779"/>
    <w:rsid w:val="64AB1D46"/>
    <w:rsid w:val="64D30CB5"/>
    <w:rsid w:val="64FA641F"/>
    <w:rsid w:val="661501DF"/>
    <w:rsid w:val="66D6776C"/>
    <w:rsid w:val="6A4F377E"/>
    <w:rsid w:val="6AEE5A3A"/>
    <w:rsid w:val="6B304EB8"/>
    <w:rsid w:val="6DF80910"/>
    <w:rsid w:val="6E8C1058"/>
    <w:rsid w:val="6F0931B7"/>
    <w:rsid w:val="6FB72105"/>
    <w:rsid w:val="6FC767EC"/>
    <w:rsid w:val="6FDE3B35"/>
    <w:rsid w:val="6FE56C72"/>
    <w:rsid w:val="72B2632B"/>
    <w:rsid w:val="742A7349"/>
    <w:rsid w:val="74430285"/>
    <w:rsid w:val="751B38E5"/>
    <w:rsid w:val="755328D0"/>
    <w:rsid w:val="756E14B8"/>
    <w:rsid w:val="780649BD"/>
    <w:rsid w:val="78CF04BF"/>
    <w:rsid w:val="78E6643D"/>
    <w:rsid w:val="7A1F7326"/>
    <w:rsid w:val="7AA02113"/>
    <w:rsid w:val="7B37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unhideWhenUsed/>
    <w:qFormat/>
    <w:uiPriority w:val="99"/>
    <w:pPr>
      <w:jc w:val="left"/>
    </w:pPr>
  </w:style>
  <w:style w:type="paragraph" w:styleId="3">
    <w:name w:val="Balloon Text"/>
    <w:basedOn w:val="1"/>
    <w:link w:val="12"/>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unhideWhenUsed/>
    <w:qFormat/>
    <w:uiPriority w:val="99"/>
    <w:rPr>
      <w:b/>
      <w:bCs/>
    </w:rPr>
  </w:style>
  <w:style w:type="character" w:styleId="9">
    <w:name w:val="page number"/>
    <w:autoRedefine/>
    <w:qFormat/>
    <w:uiPriority w:val="0"/>
  </w:style>
  <w:style w:type="character" w:styleId="10">
    <w:name w:val="annotation reference"/>
    <w:autoRedefine/>
    <w:unhideWhenUsed/>
    <w:qFormat/>
    <w:uiPriority w:val="99"/>
    <w:rPr>
      <w:sz w:val="21"/>
      <w:szCs w:val="21"/>
    </w:rPr>
  </w:style>
  <w:style w:type="character" w:customStyle="1" w:styleId="11">
    <w:name w:val="批注文字 字符"/>
    <w:link w:val="2"/>
    <w:autoRedefine/>
    <w:semiHidden/>
    <w:qFormat/>
    <w:uiPriority w:val="99"/>
    <w:rPr>
      <w:kern w:val="2"/>
      <w:sz w:val="21"/>
      <w:szCs w:val="24"/>
    </w:rPr>
  </w:style>
  <w:style w:type="character" w:customStyle="1" w:styleId="12">
    <w:name w:val="批注框文本 字符"/>
    <w:link w:val="3"/>
    <w:autoRedefine/>
    <w:semiHidden/>
    <w:qFormat/>
    <w:uiPriority w:val="99"/>
    <w:rPr>
      <w:kern w:val="2"/>
      <w:sz w:val="18"/>
      <w:szCs w:val="18"/>
    </w:rPr>
  </w:style>
  <w:style w:type="character" w:customStyle="1" w:styleId="13">
    <w:name w:val="页脚 字符"/>
    <w:link w:val="4"/>
    <w:autoRedefine/>
    <w:qFormat/>
    <w:uiPriority w:val="99"/>
    <w:rPr>
      <w:kern w:val="2"/>
      <w:sz w:val="18"/>
      <w:szCs w:val="18"/>
    </w:rPr>
  </w:style>
  <w:style w:type="character" w:customStyle="1" w:styleId="14">
    <w:name w:val="页眉 字符"/>
    <w:link w:val="5"/>
    <w:autoRedefine/>
    <w:semiHidden/>
    <w:qFormat/>
    <w:uiPriority w:val="99"/>
    <w:rPr>
      <w:kern w:val="2"/>
      <w:sz w:val="18"/>
      <w:szCs w:val="18"/>
    </w:rPr>
  </w:style>
  <w:style w:type="character" w:customStyle="1" w:styleId="15">
    <w:name w:val="批注主题 字符"/>
    <w:link w:val="6"/>
    <w:autoRedefine/>
    <w:semiHidden/>
    <w:qFormat/>
    <w:uiPriority w:val="99"/>
    <w:rPr>
      <w:b/>
      <w:bCs/>
      <w:kern w:val="2"/>
      <w:sz w:val="21"/>
      <w:szCs w:val="24"/>
    </w:rPr>
  </w:style>
  <w:style w:type="paragraph" w:customStyle="1" w:styleId="16">
    <w:name w:val="列出段落1"/>
    <w:basedOn w:val="1"/>
    <w:autoRedefine/>
    <w:qFormat/>
    <w:uiPriority w:val="34"/>
    <w:pPr>
      <w:ind w:firstLine="420" w:firstLineChars="200"/>
    </w:pPr>
    <w:rPr>
      <w:rFonts w:ascii="Calibri" w:hAnsi="Calibri"/>
      <w:szCs w:val="22"/>
    </w:rPr>
  </w:style>
  <w:style w:type="paragraph" w:customStyle="1" w:styleId="17">
    <w:name w:val="_Style 16"/>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117</Words>
  <Characters>673</Characters>
  <Lines>5</Lines>
  <Paragraphs>1</Paragraphs>
  <TotalTime>0</TotalTime>
  <ScaleCrop>false</ScaleCrop>
  <LinksUpToDate>false</LinksUpToDate>
  <CharactersWithSpaces>789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cp:lastModifiedBy>
  <cp:lastPrinted>2019-12-05T07:53:00Z</cp:lastPrinted>
  <dcterms:modified xsi:type="dcterms:W3CDTF">2024-04-16T05:39:22Z</dcterms:modified>
  <dc:title>××产品质量监督抽查实施细则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658A0FEA52A04BC18C93AA9F1262656A_13</vt:lpwstr>
  </property>
  <property fmtid="{D5CDD505-2E9C-101B-9397-08002B2CF9AE}" pid="4" name="commondata">
    <vt:lpwstr>eyJoZGlkIjoiOTJiNjM1M2Q0Y2NiOWRiYjUwYzYxZTFiZDI3YmE2YjgifQ==</vt:lpwstr>
  </property>
</Properties>
</file>