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方正小标宋简体"/>
          <w:color w:val="000000"/>
          <w:sz w:val="32"/>
          <w:szCs w:val="32"/>
        </w:rPr>
      </w:pPr>
      <w:r>
        <w:rPr>
          <w:rFonts w:hint="eastAsia" w:eastAsia="方正小标宋简体"/>
          <w:color w:val="000000"/>
          <w:sz w:val="32"/>
          <w:szCs w:val="32"/>
        </w:rPr>
        <w:t>消防应急标志灯具产品质量监督抽查实施细则</w:t>
      </w:r>
    </w:p>
    <w:p>
      <w:pPr>
        <w:snapToGrid w:val="0"/>
        <w:spacing w:line="440" w:lineRule="exact"/>
        <w:ind w:firstLine="359"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t>每批次产品抽取样</w:t>
      </w:r>
      <w:r>
        <w:rPr>
          <w:rFonts w:eastAsia="宋体"/>
        </w:rPr>
        <w:t>品</w:t>
      </w:r>
      <w:r>
        <w:rPr>
          <w:rFonts w:hint="eastAsia" w:eastAsia="宋体"/>
          <w:lang w:val="en-US" w:eastAsia="zh-CN"/>
        </w:rPr>
        <w:t>4台</w:t>
      </w:r>
      <w:r>
        <w:rPr>
          <w:rFonts w:eastAsia="宋体"/>
        </w:rPr>
        <w:t>，其中</w:t>
      </w:r>
      <w:r>
        <w:rPr>
          <w:rFonts w:hint="eastAsia" w:eastAsia="宋体"/>
          <w:lang w:val="en-US" w:eastAsia="zh-CN"/>
        </w:rPr>
        <w:t>2台</w:t>
      </w:r>
      <w:r>
        <w:rPr>
          <w:rFonts w:eastAsia="宋体"/>
        </w:rPr>
        <w:t>为检验样品，</w:t>
      </w:r>
      <w:r>
        <w:rPr>
          <w:rFonts w:hint="eastAsia" w:eastAsia="宋体"/>
          <w:lang w:val="en-US" w:eastAsia="zh-CN"/>
        </w:rPr>
        <w:t>2台</w:t>
      </w:r>
      <w:r>
        <w:rPr>
          <w:rFonts w:eastAsia="宋体"/>
        </w:rPr>
        <w:t>为备用样</w:t>
      </w:r>
      <w:r>
        <w:t>品。</w:t>
      </w:r>
    </w:p>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rFonts w:hint="default" w:eastAsia="宋体"/>
          <w:color w:val="000000"/>
          <w:szCs w:val="21"/>
          <w:lang w:val="en-US" w:eastAsia="zh-CN"/>
        </w:rPr>
      </w:pPr>
      <w:r>
        <w:rPr>
          <w:rFonts w:hint="eastAsia"/>
          <w:color w:val="000000"/>
          <w:szCs w:val="21"/>
          <w:lang w:val="en-US" w:eastAsia="zh-CN"/>
        </w:rPr>
        <w:t>表1</w:t>
      </w:r>
      <w:r>
        <w:rPr>
          <w:rFonts w:hint="eastAsia" w:ascii="宋体" w:hAnsi="宋体" w:cs="宋体"/>
          <w:color w:val="000000"/>
          <w:kern w:val="0"/>
          <w:szCs w:val="21"/>
          <w:highlight w:val="none"/>
          <w:lang w:val="en-US" w:eastAsia="zh-CN"/>
        </w:rPr>
        <w:t>消防应急标志灯具</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66"/>
        <w:gridCol w:w="2596"/>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51" w:type="pct"/>
            <w:vAlign w:val="center"/>
          </w:tcPr>
          <w:p>
            <w:pPr>
              <w:snapToGrid w:val="0"/>
              <w:spacing w:line="240" w:lineRule="auto"/>
              <w:jc w:val="center"/>
              <w:rPr>
                <w:color w:val="000000"/>
                <w:szCs w:val="21"/>
              </w:rPr>
            </w:pPr>
            <w:r>
              <w:rPr>
                <w:color w:val="000000"/>
                <w:szCs w:val="21"/>
              </w:rPr>
              <w:t>序号</w:t>
            </w:r>
          </w:p>
        </w:tc>
        <w:tc>
          <w:tcPr>
            <w:tcW w:w="1617" w:type="pct"/>
            <w:vAlign w:val="center"/>
          </w:tcPr>
          <w:p>
            <w:pPr>
              <w:snapToGrid w:val="0"/>
              <w:spacing w:line="240" w:lineRule="auto"/>
              <w:jc w:val="center"/>
              <w:rPr>
                <w:color w:val="000000"/>
                <w:szCs w:val="21"/>
              </w:rPr>
            </w:pPr>
            <w:r>
              <w:rPr>
                <w:color w:val="000000"/>
                <w:szCs w:val="21"/>
              </w:rPr>
              <w:t>检验项目</w:t>
            </w:r>
          </w:p>
        </w:tc>
        <w:tc>
          <w:tcPr>
            <w:tcW w:w="1415" w:type="pct"/>
            <w:vAlign w:val="center"/>
          </w:tcPr>
          <w:p>
            <w:pPr>
              <w:snapToGrid w:val="0"/>
              <w:spacing w:line="240" w:lineRule="auto"/>
              <w:jc w:val="center"/>
              <w:rPr>
                <w:color w:val="000000"/>
                <w:szCs w:val="21"/>
              </w:rPr>
            </w:pPr>
            <w:r>
              <w:rPr>
                <w:rFonts w:hint="eastAsia"/>
                <w:color w:val="000000"/>
                <w:szCs w:val="21"/>
              </w:rPr>
              <w:t>检验依据</w:t>
            </w:r>
          </w:p>
        </w:tc>
        <w:tc>
          <w:tcPr>
            <w:tcW w:w="1415" w:type="pct"/>
            <w:vAlign w:val="center"/>
          </w:tcPr>
          <w:p>
            <w:pPr>
              <w:snapToGrid w:val="0"/>
              <w:spacing w:line="240" w:lineRule="auto"/>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0" w:type="dxa"/>
            <w:vAlign w:val="center"/>
          </w:tcPr>
          <w:p>
            <w:pPr>
              <w:snapToGrid w:val="0"/>
              <w:spacing w:line="240" w:lineRule="auto"/>
              <w:jc w:val="center"/>
              <w:rPr>
                <w:color w:val="000000"/>
                <w:szCs w:val="21"/>
              </w:rPr>
            </w:pPr>
            <w:r>
              <w:rPr>
                <w:color w:val="000000"/>
                <w:szCs w:val="21"/>
              </w:rPr>
              <w:t>1</w:t>
            </w:r>
          </w:p>
        </w:tc>
        <w:tc>
          <w:tcPr>
            <w:tcW w:w="2966" w:type="dxa"/>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highlight w:val="none"/>
                <w:lang w:val="en-US" w:eastAsia="zh-CN"/>
              </w:rPr>
              <w:t>接地电阻试验</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szCs w:val="21"/>
              </w:rP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0" w:type="dxa"/>
            <w:vAlign w:val="center"/>
          </w:tcPr>
          <w:p>
            <w:pPr>
              <w:snapToGrid w:val="0"/>
              <w:spacing w:line="240" w:lineRule="auto"/>
              <w:jc w:val="center"/>
              <w:rPr>
                <w:color w:val="000000"/>
                <w:szCs w:val="21"/>
              </w:rPr>
            </w:pPr>
            <w:bookmarkStart w:id="0" w:name="_GoBack" w:colFirst="1" w:colLast="1"/>
            <w:r>
              <w:rPr>
                <w:color w:val="000000"/>
                <w:szCs w:val="21"/>
              </w:rPr>
              <w:t>2</w:t>
            </w:r>
          </w:p>
        </w:tc>
        <w:tc>
          <w:tcPr>
            <w:tcW w:w="2966" w:type="dxa"/>
            <w:vAlign w:val="center"/>
          </w:tcPr>
          <w:p>
            <w:pPr>
              <w:widowControl/>
              <w:numPr>
                <w:ilvl w:val="0"/>
                <w:numId w:val="0"/>
              </w:numPr>
              <w:spacing w:line="240" w:lineRule="auto"/>
              <w:ind w:left="0" w:leftChars="0" w:firstLine="0" w:firstLineChars="0"/>
              <w:jc w:val="center"/>
              <w:rPr>
                <w:color w:val="000000"/>
                <w:szCs w:val="21"/>
                <w:highlight w:val="none"/>
              </w:rPr>
            </w:pPr>
            <w:r>
              <w:rPr>
                <w:rFonts w:hint="eastAsia" w:ascii="宋体" w:hAnsi="宋体" w:cs="宋体"/>
                <w:color w:val="000000"/>
                <w:kern w:val="0"/>
                <w:highlight w:val="none"/>
                <w:lang w:val="en-US" w:eastAsia="zh-CN"/>
              </w:rPr>
              <w:t>系统与整机性能（</w:t>
            </w:r>
            <w:r>
              <w:rPr>
                <w:rFonts w:hint="eastAsia" w:ascii="宋体" w:hAnsi="宋体" w:eastAsia="宋体" w:cs="宋体"/>
                <w:color w:val="000000"/>
                <w:kern w:val="0"/>
                <w:highlight w:val="none"/>
                <w:lang w:val="en-US" w:eastAsia="zh-CN"/>
              </w:rPr>
              <w:t>应急工作时间</w:t>
            </w:r>
            <w:r>
              <w:rPr>
                <w:rFonts w:hint="eastAsia" w:ascii="宋体" w:hAnsi="宋体" w:cs="宋体"/>
                <w:color w:val="000000"/>
                <w:kern w:val="0"/>
                <w:highlight w:val="none"/>
                <w:lang w:val="en-US" w:eastAsia="zh-CN"/>
              </w:rPr>
              <w:t>）</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szCs w:val="21"/>
              </w:rP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0" w:type="dxa"/>
            <w:vAlign w:val="center"/>
          </w:tcPr>
          <w:p>
            <w:pPr>
              <w:snapToGrid w:val="0"/>
              <w:spacing w:line="240" w:lineRule="auto"/>
              <w:jc w:val="center"/>
              <w:rPr>
                <w:color w:val="000000"/>
                <w:szCs w:val="21"/>
              </w:rPr>
            </w:pPr>
            <w:r>
              <w:rPr>
                <w:color w:val="000000"/>
                <w:szCs w:val="21"/>
              </w:rPr>
              <w:t>3</w:t>
            </w:r>
          </w:p>
        </w:tc>
        <w:tc>
          <w:tcPr>
            <w:tcW w:w="2966" w:type="dxa"/>
            <w:vAlign w:val="center"/>
          </w:tcPr>
          <w:p>
            <w:pPr>
              <w:widowControl/>
              <w:numPr>
                <w:ilvl w:val="0"/>
                <w:numId w:val="0"/>
              </w:numPr>
              <w:spacing w:line="240" w:lineRule="auto"/>
              <w:ind w:left="0" w:leftChars="0" w:firstLine="0" w:firstLineChars="0"/>
              <w:jc w:val="center"/>
              <w:rPr>
                <w:color w:val="000000"/>
                <w:szCs w:val="21"/>
                <w:highlight w:val="none"/>
              </w:rPr>
            </w:pPr>
            <w:r>
              <w:rPr>
                <w:rFonts w:hint="eastAsia" w:ascii="宋体" w:hAnsi="宋体" w:cs="宋体"/>
                <w:color w:val="000000"/>
                <w:kern w:val="0"/>
                <w:highlight w:val="none"/>
                <w:lang w:val="en-US" w:eastAsia="zh-CN"/>
              </w:rPr>
              <w:t>系统与整机性能（</w:t>
            </w:r>
            <w:r>
              <w:rPr>
                <w:rFonts w:hint="eastAsia" w:ascii="宋体" w:hAnsi="宋体" w:eastAsia="宋体" w:cs="宋体"/>
                <w:color w:val="000000"/>
                <w:kern w:val="0"/>
                <w:highlight w:val="none"/>
                <w:lang w:val="en-US" w:eastAsia="zh-CN"/>
              </w:rPr>
              <w:t>应急转换时间</w:t>
            </w:r>
            <w:r>
              <w:rPr>
                <w:rFonts w:hint="eastAsia" w:ascii="宋体" w:hAnsi="宋体" w:cs="宋体"/>
                <w:color w:val="000000"/>
                <w:kern w:val="0"/>
                <w:highlight w:val="none"/>
                <w:lang w:val="en-US" w:eastAsia="zh-CN"/>
              </w:rPr>
              <w:t>）</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color w:val="000000"/>
                <w:szCs w:val="21"/>
              </w:rPr>
            </w:pPr>
            <w:r>
              <w:rPr>
                <w:rFonts w:hint="eastAsia"/>
              </w:rPr>
              <w:t>GB 17945-2010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0" w:type="dxa"/>
            <w:vAlign w:val="center"/>
          </w:tcPr>
          <w:p>
            <w:pPr>
              <w:snapToGrid w:val="0"/>
              <w:spacing w:line="240" w:lineRule="auto"/>
              <w:jc w:val="center"/>
              <w:rPr>
                <w:color w:val="000000"/>
                <w:szCs w:val="21"/>
              </w:rPr>
            </w:pPr>
            <w:r>
              <w:rPr>
                <w:color w:val="000000"/>
                <w:szCs w:val="21"/>
              </w:rPr>
              <w:t>4</w:t>
            </w:r>
          </w:p>
        </w:tc>
        <w:tc>
          <w:tcPr>
            <w:tcW w:w="2966" w:type="dxa"/>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highlight w:val="none"/>
                <w:lang w:val="en-US" w:eastAsia="zh-CN"/>
              </w:rPr>
              <w:t>绝缘电阻试验</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color w:val="000000"/>
                <w:szCs w:val="21"/>
              </w:rP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0" w:type="dxa"/>
            <w:vAlign w:val="center"/>
          </w:tcPr>
          <w:p>
            <w:pPr>
              <w:snapToGrid w:val="0"/>
              <w:spacing w:line="240" w:lineRule="auto"/>
              <w:jc w:val="center"/>
              <w:rPr>
                <w:rFonts w:hint="eastAsia" w:eastAsia="宋体"/>
                <w:color w:val="000000"/>
                <w:szCs w:val="21"/>
                <w:lang w:val="en-US" w:eastAsia="zh-CN"/>
              </w:rPr>
            </w:pPr>
            <w:r>
              <w:rPr>
                <w:rFonts w:hint="eastAsia"/>
                <w:color w:val="000000"/>
                <w:szCs w:val="21"/>
                <w:lang w:val="en-US" w:eastAsia="zh-CN"/>
              </w:rPr>
              <w:t>5</w:t>
            </w:r>
          </w:p>
        </w:tc>
        <w:tc>
          <w:tcPr>
            <w:tcW w:w="2966" w:type="dxa"/>
            <w:vAlign w:val="center"/>
          </w:tcPr>
          <w:p>
            <w:pPr>
              <w:widowControl/>
              <w:numPr>
                <w:ilvl w:val="0"/>
                <w:numId w:val="0"/>
              </w:numPr>
              <w:spacing w:line="240" w:lineRule="auto"/>
              <w:ind w:left="0" w:leftChars="0" w:firstLine="0" w:firstLineChars="0"/>
              <w:jc w:val="center"/>
            </w:pPr>
            <w:r>
              <w:rPr>
                <w:rFonts w:hint="eastAsia" w:ascii="宋体" w:hAnsi="宋体" w:eastAsia="宋体" w:cs="宋体"/>
                <w:color w:val="000000"/>
                <w:kern w:val="0"/>
                <w:highlight w:val="none"/>
                <w:lang w:val="en-US" w:eastAsia="zh-CN"/>
              </w:rPr>
              <w:t>电压波动试验</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0" w:type="dxa"/>
            <w:vAlign w:val="center"/>
          </w:tcPr>
          <w:p>
            <w:pPr>
              <w:snapToGrid w:val="0"/>
              <w:spacing w:line="240" w:lineRule="auto"/>
              <w:jc w:val="center"/>
              <w:rPr>
                <w:rFonts w:hint="eastAsia" w:eastAsia="宋体"/>
                <w:color w:val="000000"/>
                <w:szCs w:val="21"/>
                <w:lang w:val="en-US" w:eastAsia="zh-CN"/>
              </w:rPr>
            </w:pPr>
            <w:r>
              <w:rPr>
                <w:rFonts w:hint="eastAsia"/>
                <w:color w:val="000000"/>
                <w:szCs w:val="21"/>
                <w:lang w:val="en-US" w:eastAsia="zh-CN"/>
              </w:rPr>
              <w:t>6</w:t>
            </w:r>
          </w:p>
        </w:tc>
        <w:tc>
          <w:tcPr>
            <w:tcW w:w="2966" w:type="dxa"/>
            <w:vAlign w:val="center"/>
          </w:tcPr>
          <w:p>
            <w:pPr>
              <w:spacing w:line="240" w:lineRule="auto"/>
              <w:jc w:val="center"/>
            </w:pPr>
            <w:r>
              <w:rPr>
                <w:rFonts w:hint="eastAsia" w:ascii="宋体" w:hAnsi="宋体" w:eastAsia="宋体" w:cs="宋体"/>
                <w:color w:val="000000"/>
                <w:kern w:val="0"/>
                <w:highlight w:val="none"/>
                <w:lang w:val="en-US" w:eastAsia="zh-CN"/>
              </w:rPr>
              <w:t>重复转换试验</w:t>
            </w:r>
          </w:p>
        </w:tc>
        <w:tc>
          <w:tcPr>
            <w:tcW w:w="1415" w:type="pct"/>
            <w:vAlign w:val="center"/>
          </w:tcPr>
          <w:p>
            <w:pPr>
              <w:spacing w:line="240" w:lineRule="auto"/>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pPr>
            <w:r>
              <w:rPr>
                <w:rFonts w:hint="eastAsia"/>
              </w:rPr>
              <w:t>GB 17945-2010</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pPr>
      <w:r>
        <w:rPr>
          <w:rFonts w:hint="eastAsia"/>
        </w:rPr>
        <w:t>GB 17945-2010</w:t>
      </w:r>
      <w:r>
        <w:t xml:space="preserve"> </w:t>
      </w:r>
      <w:r>
        <w:rPr>
          <w:rFonts w:hint="eastAsia"/>
        </w:rPr>
        <w:t>消防应急照明和疏散指示系统</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若被检产品明示的质量要求缺少本细则中检验项目依据的推荐性标准要求时，该项目不参与判定。</w:t>
      </w:r>
    </w:p>
    <w:p>
      <w:pPr>
        <w:snapToGrid w:val="0"/>
        <w:spacing w:line="440" w:lineRule="exact"/>
        <w:rPr>
          <w:color w:val="FF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9026DB-CC68-40F6-9F56-C045643045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1F16497-6BDA-4032-9380-9A05383446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MTY5ZWZkMWRiZTVmYTYzZTQ5MWFhZmRhZTBhMjEifQ=="/>
  </w:docVars>
  <w:rsids>
    <w:rsidRoot w:val="00172A27"/>
    <w:rsid w:val="00051A44"/>
    <w:rsid w:val="00081CBD"/>
    <w:rsid w:val="000976DE"/>
    <w:rsid w:val="000B7BA8"/>
    <w:rsid w:val="00123D1C"/>
    <w:rsid w:val="00172A27"/>
    <w:rsid w:val="001809DD"/>
    <w:rsid w:val="00195559"/>
    <w:rsid w:val="001A057E"/>
    <w:rsid w:val="00232530"/>
    <w:rsid w:val="00253624"/>
    <w:rsid w:val="002D7F8A"/>
    <w:rsid w:val="002E0D1D"/>
    <w:rsid w:val="003203A3"/>
    <w:rsid w:val="00365CBE"/>
    <w:rsid w:val="003A3D25"/>
    <w:rsid w:val="003A7D30"/>
    <w:rsid w:val="003C388C"/>
    <w:rsid w:val="003D09A1"/>
    <w:rsid w:val="003E61BF"/>
    <w:rsid w:val="004021C4"/>
    <w:rsid w:val="004104AC"/>
    <w:rsid w:val="00445E86"/>
    <w:rsid w:val="0045434D"/>
    <w:rsid w:val="00474E04"/>
    <w:rsid w:val="004D0C5A"/>
    <w:rsid w:val="004D184C"/>
    <w:rsid w:val="004E1396"/>
    <w:rsid w:val="004E6C21"/>
    <w:rsid w:val="00563EBC"/>
    <w:rsid w:val="005B0EF1"/>
    <w:rsid w:val="006E1171"/>
    <w:rsid w:val="006F0971"/>
    <w:rsid w:val="0072334C"/>
    <w:rsid w:val="007D7863"/>
    <w:rsid w:val="007F7411"/>
    <w:rsid w:val="00864CC8"/>
    <w:rsid w:val="00895BEA"/>
    <w:rsid w:val="008A3497"/>
    <w:rsid w:val="00917A54"/>
    <w:rsid w:val="00990FC5"/>
    <w:rsid w:val="009D6597"/>
    <w:rsid w:val="00A23D98"/>
    <w:rsid w:val="00A43553"/>
    <w:rsid w:val="00AC5391"/>
    <w:rsid w:val="00B65F23"/>
    <w:rsid w:val="00BA6893"/>
    <w:rsid w:val="00BF2B8C"/>
    <w:rsid w:val="00C26074"/>
    <w:rsid w:val="00C83B0A"/>
    <w:rsid w:val="00CE1E0C"/>
    <w:rsid w:val="00CE277E"/>
    <w:rsid w:val="00D56867"/>
    <w:rsid w:val="00D91112"/>
    <w:rsid w:val="00E02A7F"/>
    <w:rsid w:val="00E07880"/>
    <w:rsid w:val="00E4526D"/>
    <w:rsid w:val="00E82621"/>
    <w:rsid w:val="00F61BE2"/>
    <w:rsid w:val="00F77C9A"/>
    <w:rsid w:val="00FB576C"/>
    <w:rsid w:val="00FD2AA6"/>
    <w:rsid w:val="00FE7E8A"/>
    <w:rsid w:val="01050F22"/>
    <w:rsid w:val="03E8026C"/>
    <w:rsid w:val="04223EC3"/>
    <w:rsid w:val="04455AD9"/>
    <w:rsid w:val="053A5D1F"/>
    <w:rsid w:val="06330511"/>
    <w:rsid w:val="08145DA9"/>
    <w:rsid w:val="0B7369C9"/>
    <w:rsid w:val="0E6C49AA"/>
    <w:rsid w:val="0FBB5BB7"/>
    <w:rsid w:val="137155C8"/>
    <w:rsid w:val="1536339B"/>
    <w:rsid w:val="16A42B33"/>
    <w:rsid w:val="17C41DB0"/>
    <w:rsid w:val="1B53427F"/>
    <w:rsid w:val="1C80396E"/>
    <w:rsid w:val="1D174936"/>
    <w:rsid w:val="1E6A4663"/>
    <w:rsid w:val="1EBD4792"/>
    <w:rsid w:val="1FD955FC"/>
    <w:rsid w:val="20485A20"/>
    <w:rsid w:val="21426C04"/>
    <w:rsid w:val="21464F13"/>
    <w:rsid w:val="21A45E03"/>
    <w:rsid w:val="21C9561A"/>
    <w:rsid w:val="26973A9B"/>
    <w:rsid w:val="26C2385A"/>
    <w:rsid w:val="27053916"/>
    <w:rsid w:val="28757E8C"/>
    <w:rsid w:val="2AB7785E"/>
    <w:rsid w:val="2E7A26A0"/>
    <w:rsid w:val="2F524A74"/>
    <w:rsid w:val="2F74526F"/>
    <w:rsid w:val="360867E3"/>
    <w:rsid w:val="36953AD3"/>
    <w:rsid w:val="38256B53"/>
    <w:rsid w:val="39AA099D"/>
    <w:rsid w:val="3E497999"/>
    <w:rsid w:val="3E907376"/>
    <w:rsid w:val="3F7B78A2"/>
    <w:rsid w:val="44937BC0"/>
    <w:rsid w:val="451721D8"/>
    <w:rsid w:val="45DB214B"/>
    <w:rsid w:val="474A448A"/>
    <w:rsid w:val="4809790C"/>
    <w:rsid w:val="48C24E10"/>
    <w:rsid w:val="49B16CC5"/>
    <w:rsid w:val="4B705CC2"/>
    <w:rsid w:val="4CD23888"/>
    <w:rsid w:val="4DC34CC0"/>
    <w:rsid w:val="4DF21A2E"/>
    <w:rsid w:val="4EA242AD"/>
    <w:rsid w:val="4F876573"/>
    <w:rsid w:val="4FA72771"/>
    <w:rsid w:val="4FC76963"/>
    <w:rsid w:val="53C52AE3"/>
    <w:rsid w:val="55357FE7"/>
    <w:rsid w:val="56C1236A"/>
    <w:rsid w:val="5A57446E"/>
    <w:rsid w:val="5AA916F6"/>
    <w:rsid w:val="5AF25FB4"/>
    <w:rsid w:val="5B3E21DC"/>
    <w:rsid w:val="5C9F35EA"/>
    <w:rsid w:val="5EE66E12"/>
    <w:rsid w:val="5FB92779"/>
    <w:rsid w:val="64957856"/>
    <w:rsid w:val="64AB1D46"/>
    <w:rsid w:val="64D30CB5"/>
    <w:rsid w:val="64FA641F"/>
    <w:rsid w:val="661501DF"/>
    <w:rsid w:val="66D6776C"/>
    <w:rsid w:val="6A4F377E"/>
    <w:rsid w:val="6B304EB8"/>
    <w:rsid w:val="6DF80910"/>
    <w:rsid w:val="6E8C1058"/>
    <w:rsid w:val="6F0931B7"/>
    <w:rsid w:val="6FB72105"/>
    <w:rsid w:val="6FC767EC"/>
    <w:rsid w:val="6FDE3B35"/>
    <w:rsid w:val="6FE56C72"/>
    <w:rsid w:val="72B2632B"/>
    <w:rsid w:val="742A7349"/>
    <w:rsid w:val="74430285"/>
    <w:rsid w:val="751B38E5"/>
    <w:rsid w:val="755328D0"/>
    <w:rsid w:val="756E14B8"/>
    <w:rsid w:val="780649BD"/>
    <w:rsid w:val="78CF04BF"/>
    <w:rsid w:val="78E6643D"/>
    <w:rsid w:val="7A1F7326"/>
    <w:rsid w:val="7AA02113"/>
    <w:rsid w:val="7B37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unhideWhenUsed/>
    <w:qFormat/>
    <w:uiPriority w:val="99"/>
    <w:pPr>
      <w:jc w:val="left"/>
    </w:pPr>
  </w:style>
  <w:style w:type="paragraph" w:styleId="3">
    <w:name w:val="Balloon Text"/>
    <w:basedOn w:val="1"/>
    <w:link w:val="12"/>
    <w:autoRedefine/>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character" w:styleId="9">
    <w:name w:val="page number"/>
    <w:autoRedefine/>
    <w:qFormat/>
    <w:uiPriority w:val="0"/>
  </w:style>
  <w:style w:type="character" w:styleId="10">
    <w:name w:val="annotation reference"/>
    <w:autoRedefine/>
    <w:unhideWhenUsed/>
    <w:qFormat/>
    <w:uiPriority w:val="99"/>
    <w:rPr>
      <w:sz w:val="21"/>
      <w:szCs w:val="21"/>
    </w:rPr>
  </w:style>
  <w:style w:type="character" w:customStyle="1" w:styleId="11">
    <w:name w:val="批注文字 字符"/>
    <w:link w:val="2"/>
    <w:autoRedefine/>
    <w:semiHidden/>
    <w:qFormat/>
    <w:uiPriority w:val="99"/>
    <w:rPr>
      <w:kern w:val="2"/>
      <w:sz w:val="21"/>
      <w:szCs w:val="24"/>
    </w:rPr>
  </w:style>
  <w:style w:type="character" w:customStyle="1" w:styleId="12">
    <w:name w:val="批注框文本 字符"/>
    <w:link w:val="3"/>
    <w:autoRedefine/>
    <w:semiHidden/>
    <w:qFormat/>
    <w:uiPriority w:val="99"/>
    <w:rPr>
      <w:kern w:val="2"/>
      <w:sz w:val="18"/>
      <w:szCs w:val="18"/>
    </w:rPr>
  </w:style>
  <w:style w:type="character" w:customStyle="1" w:styleId="13">
    <w:name w:val="页脚 字符"/>
    <w:link w:val="4"/>
    <w:autoRedefine/>
    <w:qFormat/>
    <w:uiPriority w:val="99"/>
    <w:rPr>
      <w:kern w:val="2"/>
      <w:sz w:val="18"/>
      <w:szCs w:val="18"/>
    </w:rPr>
  </w:style>
  <w:style w:type="character" w:customStyle="1" w:styleId="14">
    <w:name w:val="页眉 字符"/>
    <w:link w:val="5"/>
    <w:autoRedefine/>
    <w:semiHidden/>
    <w:qFormat/>
    <w:uiPriority w:val="99"/>
    <w:rPr>
      <w:kern w:val="2"/>
      <w:sz w:val="18"/>
      <w:szCs w:val="18"/>
    </w:rPr>
  </w:style>
  <w:style w:type="character" w:customStyle="1" w:styleId="15">
    <w:name w:val="批注主题 字符"/>
    <w:link w:val="6"/>
    <w:autoRedefine/>
    <w:semiHidden/>
    <w:qFormat/>
    <w:uiPriority w:val="99"/>
    <w:rPr>
      <w:b/>
      <w:bCs/>
      <w:kern w:val="2"/>
      <w:sz w:val="21"/>
      <w:szCs w:val="24"/>
    </w:rPr>
  </w:style>
  <w:style w:type="paragraph" w:customStyle="1" w:styleId="16">
    <w:name w:val="列出段落1"/>
    <w:basedOn w:val="1"/>
    <w:autoRedefine/>
    <w:qFormat/>
    <w:uiPriority w:val="34"/>
    <w:pPr>
      <w:ind w:firstLine="420" w:firstLineChars="200"/>
    </w:pPr>
    <w:rPr>
      <w:rFonts w:ascii="Calibri" w:hAnsi="Calibri"/>
      <w:szCs w:val="22"/>
    </w:rPr>
  </w:style>
  <w:style w:type="paragraph" w:customStyle="1" w:styleId="17">
    <w:name w:val="_Style 16"/>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117</Words>
  <Characters>673</Characters>
  <Lines>5</Lines>
  <Paragraphs>1</Paragraphs>
  <TotalTime>0</TotalTime>
  <ScaleCrop>false</ScaleCrop>
  <LinksUpToDate>false</LinksUpToDate>
  <CharactersWithSpaces>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cp:lastModifiedBy>
  <cp:lastPrinted>2019-12-05T07:53:00Z</cp:lastPrinted>
  <dcterms:modified xsi:type="dcterms:W3CDTF">2024-04-16T09:59:21Z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658A0FEA52A04BC18C93AA9F1262656A_13</vt:lpwstr>
  </property>
  <property fmtid="{D5CDD505-2E9C-101B-9397-08002B2CF9AE}" pid="4" name="commondata">
    <vt:lpwstr>eyJoZGlkIjoiOTJiNjM1M2Q0Y2NiOWRiYjUwYzYxZTFiZDI3YmE2YjgifQ==</vt:lpwstr>
  </property>
</Properties>
</file>