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40" w:lineRule="exact"/>
        <w:jc w:val="center"/>
        <w:rPr>
          <w:rFonts w:ascii="方正小标宋简体" w:eastAsia="方正小标宋简体"/>
          <w:sz w:val="44"/>
          <w:szCs w:val="44"/>
          <w:u w:val="none"/>
        </w:rPr>
      </w:pPr>
      <w:r>
        <w:rPr>
          <w:rFonts w:hint="eastAsia" w:ascii="方正小标宋简体" w:eastAsia="方正小标宋简体"/>
          <w:sz w:val="44"/>
          <w:szCs w:val="44"/>
          <w:u w:val="single"/>
        </w:rPr>
        <w:t>鄂尔多斯市</w:t>
      </w:r>
      <w:r>
        <w:rPr>
          <w:rFonts w:hint="eastAsia" w:ascii="方正小标宋简体" w:eastAsia="方正小标宋简体"/>
          <w:sz w:val="44"/>
          <w:szCs w:val="44"/>
          <w:u w:val="none"/>
        </w:rPr>
        <w:t>市场监督管理局</w:t>
      </w:r>
    </w:p>
    <w:p>
      <w:pPr>
        <w:spacing w:after="0" w:line="54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行政处罚决定书</w:t>
      </w:r>
    </w:p>
    <w:p>
      <w:pPr>
        <w:spacing w:beforeLines="100" w:afterLines="100" w:line="420" w:lineRule="exact"/>
        <w:jc w:val="center"/>
        <w:rPr>
          <w:rFonts w:hint="eastAsia" w:ascii="Times New Roman" w:hAnsi="Times New Roman" w:eastAsia="仿宋_GB2312" w:cs="仿宋"/>
          <w:sz w:val="32"/>
          <w:szCs w:val="32"/>
        </w:rPr>
      </w:pPr>
      <w:r>
        <w:rPr>
          <w:rFonts w:hint="eastAsia" w:ascii="Times New Roman" w:hAnsi="Times New Roman" w:eastAsia="仿宋_GB2312" w:cs="仿宋"/>
          <w:sz w:val="32"/>
          <w:szCs w:val="32"/>
          <w:u w:val="single"/>
          <w:lang w:val="en-US" w:eastAsia="zh-CN"/>
        </w:rPr>
        <w:t xml:space="preserve"> 鄂 </w:t>
      </w:r>
      <w:r>
        <w:rPr>
          <w:rFonts w:hint="eastAsia" w:ascii="Times New Roman" w:hAnsi="Times New Roman" w:eastAsia="仿宋_GB2312" w:cs="仿宋"/>
          <w:sz w:val="32"/>
          <w:szCs w:val="32"/>
        </w:rPr>
        <w:t>市监</w:t>
      </w:r>
      <w:r>
        <w:rPr>
          <w:rFonts w:hint="eastAsia" w:ascii="Times New Roman" w:hAnsi="Times New Roman" w:eastAsia="仿宋_GB2312" w:cs="仿宋"/>
          <w:sz w:val="32"/>
          <w:szCs w:val="32"/>
          <w:lang w:eastAsia="zh-CN"/>
        </w:rPr>
        <w:t>处罚</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lang w:val="en-US" w:eastAsia="zh-CN"/>
        </w:rPr>
        <w:t>2021</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lang w:val="en-US" w:eastAsia="zh-CN"/>
        </w:rPr>
        <w:t>5</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号</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Times New Roman" w:hAnsi="Times New Roman" w:eastAsia="仿宋_GB2312" w:cs="仿宋"/>
          <w:sz w:val="32"/>
          <w:szCs w:val="32"/>
        </w:rPr>
      </w:pPr>
      <w:r>
        <w:rPr>
          <w:rFonts w:hint="eastAsia" w:ascii="Times New Roman" w:hAnsi="Times New Roman" w:eastAsia="仿宋_GB2312" w:cs="仿宋"/>
          <w:sz w:val="32"/>
          <w:szCs w:val="32"/>
        </w:rPr>
        <w:t>当事人：</w:t>
      </w:r>
      <w:r>
        <w:rPr>
          <w:rFonts w:hint="eastAsia" w:ascii="Times New Roman" w:hAnsi="Times New Roman" w:eastAsia="仿宋_GB2312" w:cs="仿宋"/>
          <w:sz w:val="32"/>
          <w:szCs w:val="32"/>
          <w:u w:val="single"/>
        </w:rPr>
        <w:t>鄂尔多斯市东方房地产开发有限责任公司</w:t>
      </w:r>
      <w:r>
        <w:rPr>
          <w:rFonts w:hint="eastAsia" w:ascii="Times New Roman" w:hAnsi="Times New Roman" w:eastAsia="仿宋_GB2312" w:cs="仿宋"/>
          <w:sz w:val="32"/>
          <w:szCs w:val="32"/>
          <w:u w:val="single"/>
          <w:lang w:val="en-US" w:eastAsia="zh-CN"/>
        </w:rPr>
        <w:t xml:space="preserve">                                           </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Times New Roman" w:hAnsi="Times New Roman" w:eastAsia="仿宋_GB2312" w:cs="仿宋"/>
          <w:sz w:val="32"/>
          <w:szCs w:val="32"/>
        </w:rPr>
      </w:pPr>
      <w:r>
        <w:rPr>
          <w:rFonts w:hint="eastAsia" w:ascii="Times New Roman" w:hAnsi="Times New Roman" w:eastAsia="仿宋_GB2312" w:cs="仿宋"/>
          <w:sz w:val="32"/>
          <w:szCs w:val="32"/>
        </w:rPr>
        <w:t>主体资格证照名称：</w:t>
      </w:r>
      <w:r>
        <w:rPr>
          <w:rFonts w:hint="eastAsia" w:ascii="Times New Roman" w:hAnsi="Times New Roman" w:eastAsia="仿宋_GB2312" w:cs="仿宋"/>
          <w:sz w:val="32"/>
          <w:szCs w:val="32"/>
          <w:u w:val="single"/>
        </w:rPr>
        <w:t>营业执照</w:t>
      </w:r>
      <w:r>
        <w:rPr>
          <w:rFonts w:hint="eastAsia" w:ascii="Times New Roman" w:hAnsi="Times New Roman" w:eastAsia="仿宋_GB2312" w:cs="仿宋"/>
          <w:sz w:val="32"/>
          <w:szCs w:val="32"/>
          <w:u w:val="single"/>
          <w:lang w:val="en-US" w:eastAsia="zh-CN"/>
        </w:rPr>
        <w:t xml:space="preserve"> </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Times New Roman" w:hAnsi="Times New Roman" w:eastAsia="仿宋_GB2312" w:cs="仿宋"/>
          <w:sz w:val="32"/>
          <w:szCs w:val="32"/>
        </w:rPr>
      </w:pPr>
      <w:r>
        <w:rPr>
          <w:rFonts w:hint="eastAsia" w:ascii="Times New Roman" w:hAnsi="Times New Roman" w:eastAsia="仿宋_GB2312" w:cs="仿宋"/>
          <w:sz w:val="32"/>
          <w:szCs w:val="32"/>
        </w:rPr>
        <w:t>统一社会信用代码证号：</w:t>
      </w:r>
      <w:r>
        <w:rPr>
          <w:rFonts w:hint="eastAsia" w:ascii="Times New Roman" w:hAnsi="Times New Roman" w:eastAsia="仿宋_GB2312" w:cs="仿宋"/>
          <w:sz w:val="32"/>
          <w:szCs w:val="32"/>
          <w:u w:val="single"/>
          <w:lang w:val="en-US" w:eastAsia="zh-CN"/>
        </w:rPr>
        <w:t>911506027201334269</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Times New Roman" w:hAnsi="Times New Roman" w:eastAsia="仿宋_GB2312" w:cs="仿宋"/>
          <w:sz w:val="32"/>
          <w:szCs w:val="32"/>
          <w:u w:val="single"/>
        </w:rPr>
      </w:pPr>
      <w:r>
        <w:rPr>
          <w:rFonts w:hint="eastAsia" w:ascii="Times New Roman" w:hAnsi="Times New Roman" w:eastAsia="仿宋_GB2312" w:cs="仿宋"/>
          <w:sz w:val="32"/>
          <w:szCs w:val="32"/>
        </w:rPr>
        <w:t>住所（住址）：</w:t>
      </w:r>
      <w:r>
        <w:rPr>
          <w:rFonts w:hint="eastAsia" w:ascii="Times New Roman" w:hAnsi="Times New Roman" w:eastAsia="仿宋_GB2312" w:cs="仿宋"/>
          <w:sz w:val="32"/>
          <w:szCs w:val="32"/>
          <w:u w:val="single"/>
        </w:rPr>
        <w:t xml:space="preserve">鄂尔多斯市东胜区铜川街27号 </w:t>
      </w:r>
      <w:r>
        <w:rPr>
          <w:rFonts w:hint="eastAsia" w:ascii="Times New Roman" w:hAnsi="Times New Roman" w:eastAsia="仿宋_GB2312" w:cs="仿宋"/>
          <w:sz w:val="32"/>
          <w:szCs w:val="32"/>
          <w:u w:val="single"/>
          <w:lang w:val="en-US" w:eastAsia="zh-CN"/>
        </w:rPr>
        <w:t xml:space="preserve"> </w:t>
      </w:r>
      <w:r>
        <w:rPr>
          <w:rFonts w:hint="eastAsia" w:ascii="Times New Roman" w:hAnsi="Times New Roman" w:eastAsia="仿宋_GB2312" w:cs="仿宋"/>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Times New Roman" w:hAnsi="Times New Roman" w:eastAsia="仿宋_GB2312" w:cs="仿宋"/>
          <w:sz w:val="32"/>
          <w:szCs w:val="32"/>
        </w:rPr>
      </w:pPr>
      <w:r>
        <w:rPr>
          <w:rFonts w:hint="eastAsia" w:ascii="Times New Roman" w:hAnsi="Times New Roman" w:eastAsia="仿宋_GB2312" w:cs="仿宋"/>
          <w:sz w:val="32"/>
          <w:szCs w:val="32"/>
        </w:rPr>
        <w:t>法定代表人（负责人、经营者）：</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Times New Roman" w:hAnsi="Times New Roman" w:eastAsia="仿宋_GB2312" w:cs="仿宋"/>
          <w:sz w:val="32"/>
          <w:szCs w:val="32"/>
          <w:u w:val="single"/>
        </w:rPr>
      </w:pPr>
      <w:r>
        <w:rPr>
          <w:rFonts w:hint="eastAsia" w:ascii="Times New Roman" w:hAnsi="Times New Roman" w:eastAsia="仿宋_GB2312" w:cs="仿宋"/>
          <w:sz w:val="32"/>
          <w:szCs w:val="32"/>
        </w:rPr>
        <w:t>身份证（其他有效证件）号码：</w:t>
      </w:r>
      <w:bookmarkStart w:id="0" w:name="_GoBack"/>
      <w:bookmarkEnd w:id="0"/>
      <w:r>
        <w:rPr>
          <w:rFonts w:hint="eastAsia" w:ascii="Times New Roman" w:hAnsi="Times New Roman" w:eastAsia="仿宋_GB2312" w:cs="仿宋"/>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
          <w:sz w:val="32"/>
          <w:szCs w:val="32"/>
          <w:u w:val="single"/>
        </w:rPr>
      </w:pPr>
      <w:r>
        <w:rPr>
          <w:rFonts w:hint="eastAsia" w:ascii="Times New Roman" w:hAnsi="Times New Roman" w:eastAsia="仿宋_GB2312" w:cs="仿宋"/>
          <w:sz w:val="32"/>
          <w:szCs w:val="32"/>
          <w:u w:val="single"/>
        </w:rPr>
        <w:t>经查，2021年4月2日至4月30日，当事人取得东方斓郡项目1#楼、2#楼、5#至21#楼，共19栋住宅的《商品房预销售许可证》。2021年6月15日，当事人为宣传销售东方斓郡小区商品房，在售楼部沙盘展示区2#至5#、7#至12#、14#至21#共18栋楼盘模型上摆放了“售罄”标识，在1#、6#、13#共3栋楼盘模型上摆放了“热销”标识。摆放此标识是为了让前来购房的人群，认识到东方斓郡小区销售火热，促进标注“热销”的1#、6#、13#楼盘销售。</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
          <w:sz w:val="32"/>
          <w:szCs w:val="32"/>
          <w:u w:val="single"/>
        </w:rPr>
      </w:pPr>
      <w:r>
        <w:rPr>
          <w:rFonts w:hint="eastAsia" w:ascii="Times New Roman" w:hAnsi="Times New Roman" w:eastAsia="仿宋_GB2312" w:cs="仿宋"/>
          <w:sz w:val="32"/>
          <w:szCs w:val="32"/>
          <w:u w:val="single"/>
        </w:rPr>
        <w:t>根据当事人提供的《内蒙古商品房销售管理系统2.0》和《商品房预销售许可证》等材料，从2021年4月30日至2021年6月17日，当事人标注“售罄”的2#、5#、7#至12#、14#至21#共16栋楼456套商品房取得了预售许可，网签销售257套，收取认购或认筹金177套，还有22套商品房未销售。</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
          <w:sz w:val="32"/>
          <w:szCs w:val="32"/>
        </w:rPr>
      </w:pPr>
      <w:r>
        <w:rPr>
          <w:rFonts w:hint="eastAsia" w:ascii="Times New Roman" w:hAnsi="Times New Roman" w:eastAsia="仿宋_GB2312" w:cs="仿宋"/>
          <w:sz w:val="32"/>
          <w:szCs w:val="32"/>
          <w:u w:val="single"/>
        </w:rPr>
        <w:t xml:space="preserve">2021年7月16日，当事人向我局提交了《关于东方斓郡项目宣传售罄情况说明》1份，陈述其及时撤下“售罄”标识，主动发布致歉声明，整改违法行为的举措。     </w:t>
      </w:r>
      <w:r>
        <w:rPr>
          <w:rFonts w:hint="eastAsia" w:ascii="Times New Roman" w:hAnsi="Times New Roman" w:eastAsia="仿宋_GB2312" w:cs="仿宋"/>
          <w:sz w:val="32"/>
          <w:szCs w:val="32"/>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
          <w:sz w:val="32"/>
          <w:szCs w:val="32"/>
          <w:u w:val="single"/>
        </w:rPr>
      </w:pPr>
      <w:r>
        <w:rPr>
          <w:rFonts w:hint="eastAsia" w:ascii="Times New Roman" w:hAnsi="Times New Roman" w:eastAsia="仿宋_GB2312" w:cs="仿宋"/>
          <w:sz w:val="32"/>
          <w:szCs w:val="32"/>
        </w:rPr>
        <w:t>上述事实，主要有以下证据证明：</w:t>
      </w:r>
      <w:r>
        <w:rPr>
          <w:rFonts w:hint="eastAsia" w:ascii="Times New Roman" w:hAnsi="Times New Roman" w:eastAsia="仿宋_GB2312" w:cs="仿宋"/>
          <w:sz w:val="32"/>
          <w:szCs w:val="32"/>
          <w:u w:val="single"/>
        </w:rPr>
        <w:t>1.当事人提交的《营业执照》复印件1份，证明当事人的主体资格。</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
          <w:i w:val="0"/>
          <w:iCs w:val="0"/>
          <w:sz w:val="32"/>
          <w:szCs w:val="32"/>
          <w:u w:val="single"/>
        </w:rPr>
      </w:pPr>
      <w:r>
        <w:rPr>
          <w:rFonts w:hint="eastAsia" w:ascii="Times New Roman" w:hAnsi="Times New Roman" w:eastAsia="仿宋_GB2312" w:cs="仿宋"/>
          <w:i w:val="0"/>
          <w:iCs w:val="0"/>
          <w:sz w:val="32"/>
          <w:szCs w:val="32"/>
          <w:u w:val="single"/>
        </w:rPr>
        <w:t>2.当事人提交的《授权委托书》及被授权人《身份证》复印件、法定代表人《身份证》复印件各1份，证明被授权人提供的证据材料及所签的证据材料是当事人的行为，所签文书材料具有证明力和有效性。</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
          <w:i w:val="0"/>
          <w:iCs w:val="0"/>
          <w:sz w:val="32"/>
          <w:szCs w:val="32"/>
          <w:u w:val="single"/>
        </w:rPr>
      </w:pPr>
      <w:r>
        <w:rPr>
          <w:rFonts w:hint="eastAsia" w:ascii="Times New Roman" w:hAnsi="Times New Roman" w:eastAsia="仿宋_GB2312" w:cs="仿宋"/>
          <w:i w:val="0"/>
          <w:iCs w:val="0"/>
          <w:sz w:val="32"/>
          <w:szCs w:val="32"/>
          <w:u w:val="single"/>
        </w:rPr>
        <w:t xml:space="preserve">3.办案人员制作的《现场笔录》1份，证明当事人宣传售楼时，在售楼处沙盘展示区楼盘模型上标注“售罄”的事实。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
          <w:i w:val="0"/>
          <w:iCs w:val="0"/>
          <w:sz w:val="32"/>
          <w:szCs w:val="32"/>
          <w:u w:val="single"/>
        </w:rPr>
      </w:pPr>
      <w:r>
        <w:rPr>
          <w:rFonts w:hint="eastAsia" w:ascii="Times New Roman" w:hAnsi="Times New Roman" w:eastAsia="仿宋_GB2312" w:cs="仿宋"/>
          <w:i w:val="0"/>
          <w:iCs w:val="0"/>
          <w:sz w:val="32"/>
          <w:szCs w:val="32"/>
          <w:u w:val="single"/>
        </w:rPr>
        <w:t>4.办案人员现场提取的照片3张，证明当事人宣传售楼时，在售楼部沙盘展示区2#至5#、7#至12#、14#至21#共18栋楼盘模型上摆放了“售罄”标识的事实。</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
          <w:i w:val="0"/>
          <w:iCs w:val="0"/>
          <w:sz w:val="32"/>
          <w:szCs w:val="32"/>
          <w:u w:val="single"/>
        </w:rPr>
      </w:pPr>
      <w:r>
        <w:rPr>
          <w:rFonts w:hint="eastAsia" w:ascii="Times New Roman" w:hAnsi="Times New Roman" w:eastAsia="仿宋_GB2312" w:cs="仿宋"/>
          <w:i w:val="0"/>
          <w:iCs w:val="0"/>
          <w:sz w:val="32"/>
          <w:szCs w:val="32"/>
          <w:u w:val="single"/>
        </w:rPr>
        <w:t>5.办案人员制作的《询问笔录》1份，证明当事人对销售的商品房作虚假或者引人误解的商业宣传，欺骗、误导消费者的违法事实。</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
          <w:i w:val="0"/>
          <w:iCs w:val="0"/>
          <w:sz w:val="32"/>
          <w:szCs w:val="32"/>
          <w:u w:val="single"/>
        </w:rPr>
      </w:pPr>
      <w:r>
        <w:rPr>
          <w:rFonts w:hint="eastAsia" w:ascii="Times New Roman" w:hAnsi="Times New Roman" w:eastAsia="仿宋_GB2312" w:cs="仿宋"/>
          <w:i w:val="0"/>
          <w:iCs w:val="0"/>
          <w:sz w:val="32"/>
          <w:szCs w:val="32"/>
          <w:u w:val="single"/>
        </w:rPr>
        <w:t>6.当事人提供的《商品房预销售许可证》复印件2份，证明当事人销售的东方斓郡项目1#、2#、5#至21#号楼盘取得预售许可的事实。</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
          <w:i w:val="0"/>
          <w:iCs w:val="0"/>
          <w:sz w:val="32"/>
          <w:szCs w:val="32"/>
          <w:u w:val="single"/>
        </w:rPr>
      </w:pPr>
      <w:r>
        <w:rPr>
          <w:rFonts w:hint="eastAsia" w:ascii="Times New Roman" w:hAnsi="Times New Roman" w:eastAsia="仿宋_GB2312" w:cs="仿宋"/>
          <w:i w:val="0"/>
          <w:iCs w:val="0"/>
          <w:sz w:val="32"/>
          <w:szCs w:val="32"/>
          <w:u w:val="single"/>
        </w:rPr>
        <w:t>7.当事人提供的《东方斓郡标记售罄房源明细表》1份、东方斓郡2#、5#、7#至12#、14#至21#楼盘销售明细各1份</w:t>
      </w:r>
      <w:r>
        <w:rPr>
          <w:rFonts w:hint="eastAsia" w:ascii="Times New Roman" w:hAnsi="Times New Roman" w:eastAsia="仿宋_GB2312" w:cs="仿宋"/>
          <w:i w:val="0"/>
          <w:iCs w:val="0"/>
          <w:sz w:val="32"/>
          <w:szCs w:val="32"/>
          <w:u w:val="single"/>
          <w:lang w:eastAsia="zh-CN"/>
        </w:rPr>
        <w:t>，</w:t>
      </w:r>
      <w:r>
        <w:rPr>
          <w:rFonts w:hint="eastAsia" w:ascii="Times New Roman" w:hAnsi="Times New Roman" w:eastAsia="仿宋_GB2312" w:cs="仿宋"/>
          <w:i w:val="0"/>
          <w:iCs w:val="0"/>
          <w:sz w:val="32"/>
          <w:szCs w:val="32"/>
          <w:u w:val="single"/>
        </w:rPr>
        <w:t>《商品房买卖合同》1份，证明当事人销售东方斓郡项目商品房的事实。</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
          <w:i w:val="0"/>
          <w:iCs w:val="0"/>
          <w:sz w:val="32"/>
          <w:szCs w:val="32"/>
          <w:u w:val="single"/>
        </w:rPr>
      </w:pPr>
      <w:r>
        <w:rPr>
          <w:rFonts w:hint="eastAsia" w:ascii="Times New Roman" w:hAnsi="Times New Roman" w:eastAsia="仿宋_GB2312" w:cs="仿宋"/>
          <w:i w:val="0"/>
          <w:iCs w:val="0"/>
          <w:sz w:val="32"/>
          <w:szCs w:val="32"/>
          <w:u w:val="single"/>
        </w:rPr>
        <w:t>8.当事人提交的2#、5#、7#至12#、14#至21#楼盘的《内蒙古商品房销售管理系统2.0》截图复印件16份，证明截止2021年6月17日，已网签销售商品房257套的事实。</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
          <w:i w:val="0"/>
          <w:iCs w:val="0"/>
          <w:sz w:val="32"/>
          <w:szCs w:val="32"/>
          <w:u w:val="single"/>
        </w:rPr>
      </w:pPr>
      <w:r>
        <w:rPr>
          <w:rFonts w:hint="eastAsia" w:ascii="Times New Roman" w:hAnsi="Times New Roman" w:eastAsia="仿宋_GB2312" w:cs="仿宋"/>
          <w:i w:val="0"/>
          <w:iCs w:val="0"/>
          <w:sz w:val="32"/>
          <w:szCs w:val="32"/>
          <w:u w:val="single"/>
        </w:rPr>
        <w:t>9.当事人提供的2#、5#、7#至12#、14#至21#共计16栋楼盘的收据及支付凭证复印件，证明当事人实际销售2#、5#、7#至12#、14#至21#楼盘的事实。</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
          <w:i w:val="0"/>
          <w:iCs w:val="0"/>
          <w:sz w:val="32"/>
          <w:szCs w:val="32"/>
          <w:u w:val="single"/>
        </w:rPr>
      </w:pPr>
      <w:r>
        <w:rPr>
          <w:rFonts w:hint="eastAsia" w:ascii="Times New Roman" w:hAnsi="Times New Roman" w:eastAsia="仿宋_GB2312" w:cs="仿宋"/>
          <w:i w:val="0"/>
          <w:iCs w:val="0"/>
          <w:sz w:val="32"/>
          <w:szCs w:val="32"/>
          <w:u w:val="single"/>
        </w:rPr>
        <w:t>1</w:t>
      </w:r>
      <w:r>
        <w:rPr>
          <w:rFonts w:hint="eastAsia" w:ascii="Times New Roman" w:hAnsi="Times New Roman" w:eastAsia="仿宋_GB2312" w:cs="仿宋"/>
          <w:i w:val="0"/>
          <w:iCs w:val="0"/>
          <w:sz w:val="32"/>
          <w:szCs w:val="32"/>
          <w:u w:val="single"/>
          <w:lang w:val="en-US" w:eastAsia="zh-CN"/>
        </w:rPr>
        <w:t>0</w:t>
      </w:r>
      <w:r>
        <w:rPr>
          <w:rFonts w:hint="eastAsia" w:ascii="Times New Roman" w:hAnsi="Times New Roman" w:eastAsia="仿宋_GB2312" w:cs="仿宋"/>
          <w:i w:val="0"/>
          <w:iCs w:val="0"/>
          <w:sz w:val="32"/>
          <w:szCs w:val="32"/>
          <w:u w:val="single"/>
        </w:rPr>
        <w:t xml:space="preserve">.当事人提供的《关于东方斓郡项目宣传售罄情况说明》原件1份、致歉声明照片3张，证明当事人有及时改正违法行为，主动减轻违法行为危害后果的情形。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
          <w:sz w:val="32"/>
          <w:szCs w:val="32"/>
          <w:u w:val="single"/>
        </w:rPr>
      </w:pPr>
      <w:r>
        <w:rPr>
          <w:rFonts w:hint="eastAsia" w:ascii="Times New Roman" w:hAnsi="Times New Roman" w:eastAsia="仿宋_GB2312" w:cs="仿宋"/>
          <w:sz w:val="32"/>
          <w:szCs w:val="32"/>
          <w:u w:val="single"/>
        </w:rPr>
        <w:t xml:space="preserve">根据《中华人民共和国行政处罚法》第四十四条、第四十五条、第六十三条、第六十四条第一项，以及《市场监督管理行政处罚听证办法》第五条的规定，本局于2021年9月 </w:t>
      </w:r>
      <w:r>
        <w:rPr>
          <w:rFonts w:hint="eastAsia" w:ascii="Times New Roman" w:hAnsi="Times New Roman" w:eastAsia="仿宋_GB2312" w:cs="仿宋"/>
          <w:sz w:val="32"/>
          <w:szCs w:val="32"/>
          <w:u w:val="single"/>
          <w:lang w:val="en-US" w:eastAsia="zh-CN"/>
        </w:rPr>
        <w:t>3</w:t>
      </w:r>
      <w:r>
        <w:rPr>
          <w:rFonts w:hint="eastAsia" w:ascii="Times New Roman" w:hAnsi="Times New Roman" w:eastAsia="仿宋_GB2312" w:cs="仿宋"/>
          <w:sz w:val="32"/>
          <w:szCs w:val="32"/>
          <w:u w:val="single"/>
        </w:rPr>
        <w:t>日向当事人送达了</w:t>
      </w:r>
      <w:r>
        <w:rPr>
          <w:rFonts w:hint="eastAsia" w:ascii="仿宋" w:hAnsi="仿宋" w:eastAsia="仿宋" w:cs="仿宋"/>
          <w:sz w:val="32"/>
          <w:szCs w:val="32"/>
          <w:u w:val="single"/>
          <w:lang w:eastAsia="zh-CN"/>
        </w:rPr>
        <w:t>鄂市市监竞听告</w:t>
      </w:r>
      <w:r>
        <w:rPr>
          <w:rFonts w:hint="eastAsia" w:ascii="Times New Roman" w:hAnsi="Times New Roman" w:eastAsia="仿宋_GB2312" w:cs="仿宋"/>
          <w:sz w:val="32"/>
          <w:szCs w:val="32"/>
          <w:u w:val="single"/>
        </w:rPr>
        <w:t xml:space="preserve"> </w:t>
      </w:r>
      <w:r>
        <w:rPr>
          <w:rFonts w:hint="eastAsia" w:ascii="仿宋" w:hAnsi="仿宋" w:eastAsia="仿宋" w:cs="仿宋"/>
          <w:sz w:val="32"/>
          <w:szCs w:val="32"/>
          <w:u w:val="single"/>
        </w:rPr>
        <w:t>〔</w:t>
      </w:r>
      <w:r>
        <w:rPr>
          <w:rFonts w:hint="eastAsia" w:ascii="仿宋" w:hAnsi="仿宋" w:eastAsia="仿宋" w:cs="仿宋"/>
          <w:sz w:val="32"/>
          <w:szCs w:val="32"/>
          <w:u w:val="single"/>
          <w:lang w:val="en-US" w:eastAsia="zh-CN"/>
        </w:rPr>
        <w:t>2021</w:t>
      </w:r>
      <w:r>
        <w:rPr>
          <w:rFonts w:hint="eastAsia" w:ascii="仿宋" w:hAnsi="仿宋" w:eastAsia="仿宋" w:cs="仿宋"/>
          <w:sz w:val="32"/>
          <w:szCs w:val="32"/>
          <w:u w:val="single"/>
        </w:rPr>
        <w:t>〕</w:t>
      </w:r>
      <w:r>
        <w:rPr>
          <w:rFonts w:hint="eastAsia" w:ascii="Times New Roman" w:hAnsi="Times New Roman" w:eastAsia="仿宋_GB2312" w:cs="仿宋"/>
          <w:sz w:val="32"/>
          <w:szCs w:val="32"/>
          <w:u w:val="single"/>
          <w:lang w:val="en-US" w:eastAsia="zh-CN"/>
        </w:rPr>
        <w:t>1</w:t>
      </w:r>
      <w:r>
        <w:rPr>
          <w:rFonts w:hint="eastAsia" w:ascii="Times New Roman" w:hAnsi="Times New Roman" w:eastAsia="仿宋_GB2312" w:cs="仿宋"/>
          <w:sz w:val="32"/>
          <w:szCs w:val="32"/>
          <w:u w:val="single"/>
        </w:rPr>
        <w:t xml:space="preserve">号听证告知书，告知当事人拟作出行政处罚的事实、理由、依据和处罚内容，并告知当事人依法享有听证或陈述、申辩的权利。当事人自告知书送达之日起五个工作日内，未要求举行听证。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
          <w:sz w:val="32"/>
          <w:szCs w:val="32"/>
          <w:u w:val="single"/>
        </w:rPr>
      </w:pPr>
      <w:r>
        <w:rPr>
          <w:rFonts w:hint="eastAsia" w:ascii="Times New Roman" w:hAnsi="Times New Roman" w:eastAsia="仿宋_GB2312" w:cs="仿宋"/>
          <w:sz w:val="32"/>
          <w:szCs w:val="32"/>
          <w:u w:val="single"/>
        </w:rPr>
        <w:t>本局认为，截止2021年6月17日，当事人标注“售罄”标识且取得预售许可的2#、5#、7#至12#、14#至21#共16栋楼盘，还有22套商品房未销售，当事人在标注“售罄”的楼盘未销售完的情况下，擅自宣传“售罄”，该行为违反了《中华人民共和国反不正当竞争法》第八条第一款之规定，属于经营者对商品的销售状况作虚假商业宣传的行为。</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
          <w:sz w:val="32"/>
          <w:szCs w:val="32"/>
          <w:u w:val="single"/>
        </w:rPr>
      </w:pPr>
      <w:r>
        <w:rPr>
          <w:rFonts w:hint="eastAsia" w:ascii="Times New Roman" w:hAnsi="Times New Roman" w:eastAsia="仿宋_GB2312" w:cs="仿宋"/>
          <w:sz w:val="32"/>
          <w:szCs w:val="32"/>
          <w:u w:val="single"/>
        </w:rPr>
        <w:t>案件调查过程中，当事人能够积极配合，自觉提交相关材料，在本局查获后及时撤下了“售罄”宣传标识，并发布了致歉声明，符合《市场监管总局关于规范市场监督管理行政处罚裁量权的指导意见》第七条第二款第二项“有下列情形之一的，应当依法从轻或者减轻行政处罚：（2）主动消除或者减轻违法行为危害后果的”和第七条第三款第一项“有下列情形之一的，可以依法从轻或者减轻行政处罚：（1）积极配合市场监管部门调查，如实陈述违法事实并主动提供证据材料的”规定情形，参照《内蒙古自治区市场监督管理行政处罚裁量权使用规则》第四条第三款“行使行政处罚裁量权，应当遵循以下原则：(三)过罚相当原则。以事实为依据,行政处罚的种类和幅度与违法行为的事实、性质、情节、社会危害程度等相当”和第六条第四项“内蒙古自治区各级市场监督管理部门行使行政处罚裁量权时，应当综合考虑违法行为的以下情节或者裁量因素进行裁量：（四）违法行为侵犯的对象和持续时间的长短”的原则，本局认为在</w:t>
      </w:r>
      <w:r>
        <w:rPr>
          <w:rFonts w:hint="eastAsia" w:ascii="Times New Roman" w:hAnsi="Times New Roman" w:eastAsia="仿宋_GB2312" w:cs="仿宋"/>
          <w:sz w:val="32"/>
          <w:szCs w:val="32"/>
          <w:u w:val="single"/>
          <w:lang w:eastAsia="zh-CN"/>
        </w:rPr>
        <w:t>此</w:t>
      </w:r>
      <w:r>
        <w:rPr>
          <w:rFonts w:hint="eastAsia" w:ascii="Times New Roman" w:hAnsi="Times New Roman" w:eastAsia="仿宋_GB2312" w:cs="仿宋"/>
          <w:sz w:val="32"/>
          <w:szCs w:val="32"/>
          <w:u w:val="single"/>
        </w:rPr>
        <w:t>案中，当事人违法宣传行为持续时间较短，且在自有经营场所内进行，受众面较窄，影响范围较小，社会危害程度较轻，依据《中华人民共和国行政处罚法》第三十二条第（一）项所列的“主动消除或者减轻违法行为危害后果的”及《中华人民共和国反不正当竞争法》第二十五条“经营者违反本法规定从事不正当竞争，有主动消除或者减轻违法行为危害后果等法定情形的，依法从轻或者减轻行政处罚”的规定，</w:t>
      </w:r>
      <w:r>
        <w:rPr>
          <w:rFonts w:hint="eastAsia" w:ascii="Times New Roman" w:hAnsi="Times New Roman" w:eastAsia="仿宋_GB2312" w:cs="仿宋"/>
          <w:sz w:val="32"/>
          <w:szCs w:val="32"/>
          <w:u w:val="single"/>
          <w:lang w:eastAsia="zh-CN"/>
        </w:rPr>
        <w:t>对当事人予以</w:t>
      </w:r>
      <w:r>
        <w:rPr>
          <w:rFonts w:hint="eastAsia" w:ascii="Times New Roman" w:hAnsi="Times New Roman" w:eastAsia="仿宋_GB2312" w:cs="仿宋"/>
          <w:sz w:val="32"/>
          <w:szCs w:val="32"/>
          <w:u w:val="single"/>
        </w:rPr>
        <w:t>减轻处罚。</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
          <w:b w:val="0"/>
          <w:bCs w:val="0"/>
          <w:sz w:val="32"/>
          <w:szCs w:val="32"/>
          <w:u w:val="single"/>
        </w:rPr>
      </w:pPr>
      <w:r>
        <w:rPr>
          <w:rFonts w:hint="eastAsia" w:ascii="Times New Roman" w:hAnsi="Times New Roman" w:eastAsia="仿宋_GB2312" w:cs="仿宋"/>
          <w:b w:val="0"/>
          <w:bCs w:val="0"/>
          <w:sz w:val="32"/>
          <w:szCs w:val="32"/>
          <w:u w:val="single"/>
        </w:rPr>
        <w:t>综上，当事人上述行为违反了《中华人民共和国反不正当竞争法》第八条第一款之规定，依据《中华人民共和国反不正当竞争法》第二十条第一款“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规定，综合考虑当事人违法事实、情节，经会议研究决定，对当事人</w:t>
      </w:r>
      <w:r>
        <w:rPr>
          <w:rFonts w:hint="eastAsia" w:ascii="Times New Roman" w:hAnsi="Times New Roman" w:eastAsia="仿宋_GB2312" w:cs="仿宋"/>
          <w:b w:val="0"/>
          <w:bCs w:val="0"/>
          <w:sz w:val="32"/>
          <w:szCs w:val="32"/>
          <w:u w:val="single"/>
          <w:lang w:eastAsia="zh-CN"/>
        </w:rPr>
        <w:t>处罚如下</w:t>
      </w:r>
      <w:r>
        <w:rPr>
          <w:rFonts w:hint="eastAsia" w:ascii="Times New Roman" w:hAnsi="Times New Roman" w:eastAsia="仿宋_GB2312" w:cs="仿宋"/>
          <w:b w:val="0"/>
          <w:bCs w:val="0"/>
          <w:sz w:val="32"/>
          <w:szCs w:val="32"/>
          <w:u w:val="single"/>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
          <w:b w:val="0"/>
          <w:bCs w:val="0"/>
          <w:sz w:val="32"/>
          <w:szCs w:val="32"/>
          <w:u w:val="single"/>
        </w:rPr>
      </w:pPr>
      <w:r>
        <w:rPr>
          <w:rFonts w:hint="eastAsia" w:ascii="Times New Roman" w:hAnsi="Times New Roman" w:eastAsia="仿宋_GB2312" w:cs="仿宋"/>
          <w:b w:val="0"/>
          <w:bCs w:val="0"/>
          <w:sz w:val="32"/>
          <w:szCs w:val="32"/>
          <w:u w:val="single"/>
        </w:rPr>
        <w:t>罚款10万元（大写：人民币壹拾万元整）</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
          <w:sz w:val="32"/>
          <w:szCs w:val="32"/>
          <w:u w:val="single"/>
        </w:rPr>
      </w:pPr>
      <w:r>
        <w:rPr>
          <w:rFonts w:hint="eastAsia" w:ascii="Times New Roman" w:hAnsi="Times New Roman" w:eastAsia="仿宋_GB2312" w:cs="仿宋"/>
          <w:sz w:val="32"/>
          <w:szCs w:val="32"/>
          <w:u w:val="single"/>
        </w:rPr>
        <w:t>当事人应当自即日起15日内将罚款交至市场监管部门罚款代收机构（代收机构名称：中国工商银行内蒙古鄂尔多斯分行东颐支行，地址：康巴什新区团结路鄂尔多斯大剧院对面，收款单位名称：鄂尔多斯市</w:t>
      </w:r>
      <w:r>
        <w:rPr>
          <w:rFonts w:hint="eastAsia" w:ascii="Times New Roman" w:hAnsi="Times New Roman" w:eastAsia="仿宋_GB2312" w:cs="仿宋"/>
          <w:sz w:val="32"/>
          <w:szCs w:val="32"/>
          <w:u w:val="single"/>
          <w:lang w:eastAsia="zh-CN"/>
        </w:rPr>
        <w:t>财政</w:t>
      </w:r>
      <w:r>
        <w:rPr>
          <w:rFonts w:hint="eastAsia" w:ascii="Times New Roman" w:hAnsi="Times New Roman" w:eastAsia="仿宋_GB2312" w:cs="仿宋"/>
          <w:sz w:val="32"/>
          <w:szCs w:val="32"/>
          <w:u w:val="single"/>
        </w:rPr>
        <w:t>局，账号：0612081629200096819）。到期不缴纳罚款的，本局可以每日按罚款数额的百分之三加处罚款。</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
          <w:sz w:val="32"/>
          <w:szCs w:val="32"/>
          <w:u w:val="single"/>
        </w:rPr>
      </w:pPr>
      <w:r>
        <w:rPr>
          <w:rFonts w:hint="eastAsia" w:ascii="Times New Roman" w:hAnsi="Times New Roman" w:eastAsia="仿宋_GB2312" w:cs="仿宋"/>
          <w:sz w:val="32"/>
          <w:szCs w:val="32"/>
          <w:u w:val="single"/>
        </w:rPr>
        <w:t>如对本处罚决定不服，可在接到本处罚决定书之日起60日</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Times New Roman" w:hAnsi="Times New Roman" w:eastAsia="仿宋_GB2312" w:cs="仿宋"/>
          <w:sz w:val="32"/>
          <w:szCs w:val="32"/>
          <w:u w:val="single"/>
        </w:rPr>
      </w:pPr>
      <w:r>
        <w:rPr>
          <w:rFonts w:hint="eastAsia" w:ascii="Times New Roman" w:hAnsi="Times New Roman" w:eastAsia="仿宋_GB2312" w:cs="仿宋"/>
          <w:sz w:val="32"/>
          <w:szCs w:val="32"/>
          <w:u w:val="single"/>
        </w:rPr>
        <w:t xml:space="preserve">内，向内蒙古自治区市场监督管理局或鄂尔多斯市人民政府行政复议委员会办公室申请复议，对行政复议决定不服的，可以在六个月内依法向康巴什区人民法院起诉。                              </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Times New Roman" w:hAnsi="Times New Roman" w:eastAsia="仿宋_GB2312"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Times New Roman" w:hAnsi="Times New Roman" w:eastAsia="仿宋_GB2312" w:cs="仿宋"/>
          <w:sz w:val="32"/>
          <w:szCs w:val="32"/>
        </w:rPr>
      </w:pPr>
      <w:r>
        <w:rPr>
          <w:rFonts w:hint="eastAsia" w:ascii="Times New Roman" w:hAnsi="Times New Roman" w:eastAsia="仿宋_GB2312" w:cs="仿宋"/>
          <w:sz w:val="32"/>
          <w:szCs w:val="32"/>
        </w:rPr>
        <w:t xml:space="preserve">                </w:t>
      </w:r>
      <w:r>
        <w:rPr>
          <w:rFonts w:hint="eastAsia" w:ascii="Times New Roman" w:hAnsi="Times New Roman" w:eastAsia="仿宋_GB2312" w:cs="仿宋"/>
          <w:sz w:val="32"/>
          <w:szCs w:val="32"/>
          <w:lang w:val="en-US" w:eastAsia="zh-CN"/>
        </w:rPr>
        <w:t xml:space="preserve">                           </w:t>
      </w:r>
      <w:r>
        <w:rPr>
          <w:rFonts w:hint="eastAsia" w:ascii="Times New Roman" w:hAnsi="Times New Roman" w:eastAsia="仿宋_GB2312" w:cs="仿宋"/>
          <w:sz w:val="32"/>
          <w:szCs w:val="32"/>
        </w:rPr>
        <w:t>鄂尔多斯市市场监督管理局</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Times New Roman" w:hAnsi="Times New Roman" w:eastAsia="仿宋_GB2312" w:cs="仿宋"/>
          <w:sz w:val="32"/>
          <w:szCs w:val="32"/>
        </w:rPr>
      </w:pPr>
      <w:r>
        <w:rPr>
          <w:rFonts w:hint="eastAsia" w:ascii="Times New Roman" w:hAnsi="Times New Roman" w:eastAsia="仿宋_GB2312" w:cs="仿宋"/>
          <w:sz w:val="32"/>
          <w:szCs w:val="32"/>
        </w:rPr>
        <w:t xml:space="preserve">                   </w:t>
      </w:r>
      <w:r>
        <w:rPr>
          <w:rFonts w:hint="eastAsia" w:ascii="Times New Roman" w:hAnsi="Times New Roman" w:eastAsia="仿宋_GB2312" w:cs="仿宋"/>
          <w:sz w:val="32"/>
          <w:szCs w:val="32"/>
          <w:lang w:val="en-US" w:eastAsia="zh-CN"/>
        </w:rPr>
        <w:t xml:space="preserve">                                         </w:t>
      </w:r>
      <w:r>
        <w:rPr>
          <w:rFonts w:hint="eastAsia" w:ascii="Times New Roman" w:hAnsi="Times New Roman" w:eastAsia="仿宋_GB2312" w:cs="仿宋"/>
          <w:sz w:val="32"/>
          <w:szCs w:val="32"/>
        </w:rPr>
        <w:t>（印 章）</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Times New Roman" w:hAnsi="Times New Roman" w:eastAsia="仿宋_GB2312" w:cs="仿宋"/>
          <w:sz w:val="32"/>
          <w:szCs w:val="32"/>
        </w:rPr>
      </w:pPr>
      <w:r>
        <w:rPr>
          <w:rFonts w:hint="eastAsia" w:ascii="Times New Roman" w:hAnsi="Times New Roman" w:eastAsia="仿宋_GB2312" w:cs="仿宋"/>
          <w:sz w:val="32"/>
          <w:szCs w:val="32"/>
        </w:rPr>
        <w:t xml:space="preserve">                 </w:t>
      </w:r>
      <w:r>
        <w:rPr>
          <w:rFonts w:hint="eastAsia" w:ascii="Times New Roman" w:hAnsi="Times New Roman" w:eastAsia="仿宋_GB2312" w:cs="仿宋"/>
          <w:sz w:val="32"/>
          <w:szCs w:val="32"/>
          <w:lang w:val="en-US" w:eastAsia="zh-CN"/>
        </w:rPr>
        <w:t xml:space="preserve">                                   </w:t>
      </w:r>
      <w:r>
        <w:rPr>
          <w:rFonts w:hint="eastAsia" w:ascii="Times New Roman" w:hAnsi="Times New Roman" w:eastAsia="仿宋_GB2312" w:cs="仿宋"/>
          <w:sz w:val="32"/>
          <w:szCs w:val="32"/>
        </w:rPr>
        <w:t xml:space="preserve"> 2021年</w:t>
      </w:r>
      <w:r>
        <w:rPr>
          <w:rFonts w:hint="eastAsia" w:ascii="Times New Roman" w:hAnsi="Times New Roman" w:eastAsia="仿宋_GB2312" w:cs="仿宋"/>
          <w:sz w:val="32"/>
          <w:szCs w:val="32"/>
          <w:lang w:val="en-US" w:eastAsia="zh-CN"/>
        </w:rPr>
        <w:t>9</w:t>
      </w:r>
      <w:r>
        <w:rPr>
          <w:rFonts w:hint="eastAsia" w:ascii="Times New Roman" w:hAnsi="Times New Roman" w:eastAsia="仿宋_GB2312" w:cs="仿宋"/>
          <w:sz w:val="32"/>
          <w:szCs w:val="32"/>
        </w:rPr>
        <w:t>月</w:t>
      </w:r>
      <w:r>
        <w:rPr>
          <w:rFonts w:hint="eastAsia" w:ascii="Times New Roman" w:hAnsi="Times New Roman" w:eastAsia="仿宋_GB2312" w:cs="仿宋"/>
          <w:sz w:val="32"/>
          <w:szCs w:val="32"/>
          <w:lang w:val="en-US" w:eastAsia="zh-CN"/>
        </w:rPr>
        <w:t>29</w:t>
      </w:r>
      <w:r>
        <w:rPr>
          <w:rFonts w:hint="eastAsia" w:ascii="Times New Roman" w:hAnsi="Times New Roman" w:eastAsia="仿宋_GB2312" w:cs="仿宋"/>
          <w:sz w:val="32"/>
          <w:szCs w:val="32"/>
        </w:rPr>
        <w:t>日</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Times New Roman" w:hAnsi="Times New Roman" w:eastAsia="仿宋_GB2312" w:cs="仿宋"/>
          <w:sz w:val="32"/>
          <w:szCs w:val="32"/>
        </w:rPr>
      </w:pPr>
    </w:p>
    <w:p>
      <w:pPr>
        <w:wordWrap w:val="0"/>
        <w:snapToGrid w:val="0"/>
        <w:spacing w:line="520" w:lineRule="exact"/>
        <w:rPr>
          <w:rFonts w:hint="eastAsia" w:ascii="黑体" w:hAnsi="黑体" w:eastAsia="黑体" w:cs="黑体"/>
          <w:color w:val="000000"/>
          <w:sz w:val="30"/>
          <w:szCs w:val="30"/>
        </w:rPr>
      </w:pPr>
    </w:p>
    <w:p>
      <w:pPr>
        <w:wordWrap w:val="0"/>
        <w:snapToGrid w:val="0"/>
        <w:spacing w:line="520" w:lineRule="exact"/>
        <w:rPr>
          <w:rFonts w:hint="eastAsia" w:ascii="黑体" w:hAnsi="黑体" w:eastAsia="黑体" w:cs="黑体"/>
          <w:color w:val="000000"/>
          <w:sz w:val="30"/>
          <w:szCs w:val="30"/>
        </w:rPr>
      </w:pPr>
    </w:p>
    <w:p>
      <w:pPr>
        <w:wordWrap w:val="0"/>
        <w:snapToGrid w:val="0"/>
        <w:spacing w:line="520" w:lineRule="exact"/>
        <w:rPr>
          <w:rFonts w:hint="eastAsia" w:ascii="黑体" w:hAnsi="黑体" w:eastAsia="黑体" w:cs="黑体"/>
          <w:color w:val="000000"/>
          <w:sz w:val="30"/>
          <w:szCs w:val="30"/>
        </w:rPr>
      </w:pPr>
    </w:p>
    <w:p>
      <w:pPr>
        <w:wordWrap w:val="0"/>
        <w:snapToGrid w:val="0"/>
        <w:spacing w:line="520" w:lineRule="exact"/>
        <w:rPr>
          <w:rFonts w:hint="eastAsia" w:ascii="黑体" w:hAnsi="黑体" w:eastAsia="黑体" w:cs="黑体"/>
          <w:color w:val="000000"/>
          <w:sz w:val="30"/>
          <w:szCs w:val="30"/>
        </w:rPr>
      </w:pPr>
    </w:p>
    <w:p>
      <w:pPr>
        <w:wordWrap w:val="0"/>
        <w:snapToGrid w:val="0"/>
        <w:spacing w:line="520" w:lineRule="exact"/>
        <w:rPr>
          <w:rFonts w:hint="eastAsia" w:ascii="黑体" w:hAnsi="黑体" w:eastAsia="黑体" w:cs="黑体"/>
          <w:color w:val="000000"/>
          <w:sz w:val="30"/>
          <w:szCs w:val="30"/>
        </w:rPr>
      </w:pPr>
    </w:p>
    <w:p>
      <w:pPr>
        <w:wordWrap w:val="0"/>
        <w:snapToGrid w:val="0"/>
        <w:spacing w:line="520" w:lineRule="exact"/>
        <w:rPr>
          <w:rFonts w:hint="eastAsia" w:ascii="黑体" w:hAnsi="黑体" w:eastAsia="黑体" w:cs="黑体"/>
          <w:color w:val="000000"/>
          <w:sz w:val="30"/>
          <w:szCs w:val="30"/>
        </w:rPr>
      </w:pPr>
    </w:p>
    <w:p>
      <w:pPr>
        <w:wordWrap w:val="0"/>
        <w:snapToGrid w:val="0"/>
        <w:spacing w:line="520" w:lineRule="exact"/>
        <w:rPr>
          <w:rFonts w:hint="eastAsia" w:ascii="黑体" w:hAnsi="黑体" w:eastAsia="黑体" w:cs="黑体"/>
          <w:color w:val="000000"/>
          <w:sz w:val="30"/>
          <w:szCs w:val="30"/>
        </w:rPr>
      </w:pPr>
    </w:p>
    <w:p>
      <w:pPr>
        <w:wordWrap w:val="0"/>
        <w:snapToGrid w:val="0"/>
        <w:spacing w:line="520" w:lineRule="exact"/>
        <w:rPr>
          <w:rFonts w:hint="eastAsia" w:ascii="黑体" w:hAnsi="黑体" w:eastAsia="黑体" w:cs="黑体"/>
          <w:color w:val="000000"/>
          <w:sz w:val="30"/>
          <w:szCs w:val="30"/>
        </w:rPr>
      </w:pPr>
    </w:p>
    <w:p>
      <w:pPr>
        <w:wordWrap w:val="0"/>
        <w:snapToGrid w:val="0"/>
        <w:spacing w:line="520" w:lineRule="exact"/>
        <w:rPr>
          <w:rFonts w:hint="eastAsia" w:ascii="黑体" w:hAnsi="黑体" w:eastAsia="黑体" w:cs="黑体"/>
          <w:color w:val="000000"/>
          <w:sz w:val="30"/>
          <w:szCs w:val="30"/>
        </w:rPr>
      </w:pPr>
      <w:r>
        <w:rPr>
          <w:rFonts w:hint="eastAsia" w:ascii="黑体" w:hAnsi="黑体" w:eastAsia="黑体" w:cs="黑体"/>
          <w:color w:val="000000"/>
          <w:sz w:val="30"/>
          <w:szCs w:val="30"/>
        </w:rPr>
        <w:t>（市场监督管理部门将依法向社会公示本行政处罚决定信息）</w:t>
      </w:r>
    </w:p>
    <w:p>
      <w:pPr>
        <w:wordWrap w:val="0"/>
        <w:snapToGrid w:val="0"/>
        <w:spacing w:line="520" w:lineRule="exact"/>
        <w:rPr>
          <w:rFonts w:hint="eastAsia" w:ascii="黑体" w:hAnsi="黑体" w:eastAsia="黑体" w:cs="黑体"/>
          <w:color w:val="000000"/>
          <w:sz w:val="30"/>
          <w:szCs w:val="30"/>
        </w:rPr>
      </w:pPr>
    </w:p>
    <w:p>
      <w:pPr>
        <w:wordWrap w:val="0"/>
        <w:snapToGrid w:val="0"/>
        <w:spacing w:line="520" w:lineRule="exact"/>
        <w:rPr>
          <w:rFonts w:hint="eastAsia" w:ascii="黑体" w:hAnsi="黑体" w:eastAsia="黑体" w:cs="黑体"/>
          <w:color w:val="000000"/>
          <w:sz w:val="30"/>
          <w:szCs w:val="30"/>
          <w:lang w:eastAsia="zh-CN"/>
        </w:rPr>
      </w:pPr>
    </w:p>
    <w:p>
      <w:pPr>
        <w:wordWrap w:val="0"/>
        <w:snapToGrid w:val="0"/>
        <w:spacing w:line="520" w:lineRule="exact"/>
        <w:rPr>
          <w:rFonts w:hint="eastAsia" w:ascii="黑体" w:hAnsi="黑体" w:eastAsia="黑体" w:cs="黑体"/>
          <w:color w:val="000000"/>
          <w:sz w:val="30"/>
          <w:szCs w:val="30"/>
          <w:lang w:eastAsia="zh-CN"/>
        </w:rPr>
      </w:pPr>
    </w:p>
    <w:p>
      <w:pPr>
        <w:wordWrap w:val="0"/>
        <w:spacing w:line="520" w:lineRule="exact"/>
        <w:rPr>
          <w:rFonts w:ascii="Times New Roman" w:hAnsi="Times New Roman" w:eastAsia="仿宋_GB2312" w:cs="仿宋"/>
          <w:bCs/>
          <w:color w:val="000000"/>
          <w:sz w:val="32"/>
          <w:szCs w:val="32"/>
        </w:rPr>
      </w:pPr>
      <w:r>
        <w:rPr>
          <w:rFonts w:ascii="Times New Roman" w:hAnsi="Times New Roman" w:eastAsia="仿宋_GB2312"/>
          <w:sz w:val="32"/>
        </w:rPr>
        <w:pict>
          <v:line id="直线 2" o:spid="_x0000_s1032" o:spt="20" style="position:absolute;left:0pt;margin-left:-9.1pt;margin-top:13.55pt;height:0.05pt;width:437.05pt;z-index:251660288;mso-width-relative:page;mso-height-relative:page;"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v:path arrowok="t"/>
            <v:fill focussize="0,0"/>
            <v:stroke weight="1.25pt"/>
            <v:imagedata o:title=""/>
            <o:lock v:ext="edit"/>
          </v:line>
        </w:pict>
      </w:r>
    </w:p>
    <w:p>
      <w:pPr>
        <w:wordWrap w:val="0"/>
        <w:spacing w:line="520" w:lineRule="exact"/>
        <w:rPr>
          <w:rFonts w:hint="eastAsia" w:ascii="Times New Roman" w:hAnsi="Times New Roman" w:eastAsia="仿宋_GB2312" w:cs="仿宋"/>
          <w:sz w:val="32"/>
          <w:szCs w:val="32"/>
        </w:rPr>
      </w:pPr>
      <w:r>
        <w:rPr>
          <w:rFonts w:ascii="Times New Roman" w:hAnsi="Times New Roman" w:eastAsia="仿宋_GB2312" w:cs="仿宋"/>
          <w:bCs/>
          <w:color w:val="000000"/>
          <w:sz w:val="32"/>
          <w:szCs w:val="32"/>
        </w:rPr>
        <w:pict>
          <v:line id="直线 3" o:spid="_x0000_s1033" o:spt="20" style="position:absolute;left:0pt;margin-left:0pt;margin-top:1638.35pt;height:0.1pt;width:453.75pt;z-index:251659264;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两</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p>
    <w:sectPr>
      <w:footerReference r:id="rId5" w:type="default"/>
      <w:pgSz w:w="11906" w:h="16838"/>
      <w:pgMar w:top="2098" w:right="1474" w:bottom="1985" w:left="1588"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51044"/>
    <w:rsid w:val="00054D39"/>
    <w:rsid w:val="000623F4"/>
    <w:rsid w:val="000A5C3B"/>
    <w:rsid w:val="000B0120"/>
    <w:rsid w:val="000C3969"/>
    <w:rsid w:val="000D45DE"/>
    <w:rsid w:val="000E5F88"/>
    <w:rsid w:val="00107B8E"/>
    <w:rsid w:val="00123E07"/>
    <w:rsid w:val="001672FE"/>
    <w:rsid w:val="00177C67"/>
    <w:rsid w:val="00186F1D"/>
    <w:rsid w:val="001B059D"/>
    <w:rsid w:val="001D0B19"/>
    <w:rsid w:val="0026154C"/>
    <w:rsid w:val="00273C2D"/>
    <w:rsid w:val="002A6820"/>
    <w:rsid w:val="002C67C0"/>
    <w:rsid w:val="003060DE"/>
    <w:rsid w:val="00311EDF"/>
    <w:rsid w:val="00322FA4"/>
    <w:rsid w:val="00323B43"/>
    <w:rsid w:val="00327631"/>
    <w:rsid w:val="003573EF"/>
    <w:rsid w:val="00396CD8"/>
    <w:rsid w:val="003C76B0"/>
    <w:rsid w:val="003D37D8"/>
    <w:rsid w:val="003E340D"/>
    <w:rsid w:val="003E7CAD"/>
    <w:rsid w:val="00425BD4"/>
    <w:rsid w:val="00426133"/>
    <w:rsid w:val="004358AB"/>
    <w:rsid w:val="004642AB"/>
    <w:rsid w:val="00474DEB"/>
    <w:rsid w:val="00483282"/>
    <w:rsid w:val="004A00F1"/>
    <w:rsid w:val="004C6C3B"/>
    <w:rsid w:val="00522F16"/>
    <w:rsid w:val="00542485"/>
    <w:rsid w:val="00603053"/>
    <w:rsid w:val="006608AF"/>
    <w:rsid w:val="0068353C"/>
    <w:rsid w:val="006A3D41"/>
    <w:rsid w:val="006D591D"/>
    <w:rsid w:val="006E4889"/>
    <w:rsid w:val="00724D29"/>
    <w:rsid w:val="00726269"/>
    <w:rsid w:val="00735F7C"/>
    <w:rsid w:val="007630DC"/>
    <w:rsid w:val="0077451B"/>
    <w:rsid w:val="0078713C"/>
    <w:rsid w:val="00794180"/>
    <w:rsid w:val="00803BA0"/>
    <w:rsid w:val="00831FB6"/>
    <w:rsid w:val="00854E8E"/>
    <w:rsid w:val="00860E02"/>
    <w:rsid w:val="008711B4"/>
    <w:rsid w:val="008733E0"/>
    <w:rsid w:val="00873834"/>
    <w:rsid w:val="008839EC"/>
    <w:rsid w:val="008A1ACB"/>
    <w:rsid w:val="008A2DCA"/>
    <w:rsid w:val="008B7726"/>
    <w:rsid w:val="008B7DB3"/>
    <w:rsid w:val="008E4D41"/>
    <w:rsid w:val="008E7594"/>
    <w:rsid w:val="0095572B"/>
    <w:rsid w:val="009606CD"/>
    <w:rsid w:val="009859AF"/>
    <w:rsid w:val="009D0B93"/>
    <w:rsid w:val="009D6753"/>
    <w:rsid w:val="00A74D06"/>
    <w:rsid w:val="00AB0D80"/>
    <w:rsid w:val="00AB6A75"/>
    <w:rsid w:val="00B922B0"/>
    <w:rsid w:val="00B9753B"/>
    <w:rsid w:val="00BC4A0F"/>
    <w:rsid w:val="00C12806"/>
    <w:rsid w:val="00C24BE3"/>
    <w:rsid w:val="00C2727F"/>
    <w:rsid w:val="00C57687"/>
    <w:rsid w:val="00CC36F4"/>
    <w:rsid w:val="00CF53CF"/>
    <w:rsid w:val="00CF5A81"/>
    <w:rsid w:val="00D00C11"/>
    <w:rsid w:val="00D274A1"/>
    <w:rsid w:val="00D31D50"/>
    <w:rsid w:val="00D63E6B"/>
    <w:rsid w:val="00D71CFC"/>
    <w:rsid w:val="00D91EF7"/>
    <w:rsid w:val="00DA5FB6"/>
    <w:rsid w:val="00DB0984"/>
    <w:rsid w:val="00E164DC"/>
    <w:rsid w:val="00E209A3"/>
    <w:rsid w:val="00E30336"/>
    <w:rsid w:val="00EB7C49"/>
    <w:rsid w:val="00F227EB"/>
    <w:rsid w:val="00F4391E"/>
    <w:rsid w:val="00F63194"/>
    <w:rsid w:val="00FB1826"/>
    <w:rsid w:val="00FB1A44"/>
    <w:rsid w:val="00FB74AD"/>
    <w:rsid w:val="00FC21D7"/>
    <w:rsid w:val="00FD0029"/>
    <w:rsid w:val="01452F1E"/>
    <w:rsid w:val="01C64DCB"/>
    <w:rsid w:val="02B95BF0"/>
    <w:rsid w:val="02BB50EE"/>
    <w:rsid w:val="030E5CAD"/>
    <w:rsid w:val="034C3449"/>
    <w:rsid w:val="03510C68"/>
    <w:rsid w:val="03CD27E2"/>
    <w:rsid w:val="04283FB6"/>
    <w:rsid w:val="04696FF4"/>
    <w:rsid w:val="04737800"/>
    <w:rsid w:val="048C53FE"/>
    <w:rsid w:val="04B46675"/>
    <w:rsid w:val="056D1D68"/>
    <w:rsid w:val="057A0B5A"/>
    <w:rsid w:val="058339A0"/>
    <w:rsid w:val="05AC7D97"/>
    <w:rsid w:val="05D46139"/>
    <w:rsid w:val="05DF016E"/>
    <w:rsid w:val="06AF2378"/>
    <w:rsid w:val="074F1FEF"/>
    <w:rsid w:val="07673625"/>
    <w:rsid w:val="078D1BC2"/>
    <w:rsid w:val="091F72D3"/>
    <w:rsid w:val="09750DBE"/>
    <w:rsid w:val="09AC3B9B"/>
    <w:rsid w:val="0A063CAA"/>
    <w:rsid w:val="0A1D314A"/>
    <w:rsid w:val="0AC64619"/>
    <w:rsid w:val="0B782D32"/>
    <w:rsid w:val="0B7853A5"/>
    <w:rsid w:val="0B926969"/>
    <w:rsid w:val="0BCE7E07"/>
    <w:rsid w:val="0C246D59"/>
    <w:rsid w:val="0C593BC1"/>
    <w:rsid w:val="0CA16B2E"/>
    <w:rsid w:val="0D77579F"/>
    <w:rsid w:val="0D7B2DEB"/>
    <w:rsid w:val="0DF70D04"/>
    <w:rsid w:val="0DF72481"/>
    <w:rsid w:val="0DFF6ACC"/>
    <w:rsid w:val="0F187B53"/>
    <w:rsid w:val="0F477F00"/>
    <w:rsid w:val="101D578E"/>
    <w:rsid w:val="10561EDB"/>
    <w:rsid w:val="10CE5D17"/>
    <w:rsid w:val="113D6946"/>
    <w:rsid w:val="114F4353"/>
    <w:rsid w:val="11F50598"/>
    <w:rsid w:val="12372961"/>
    <w:rsid w:val="125D3ADA"/>
    <w:rsid w:val="12A95553"/>
    <w:rsid w:val="12DE2C49"/>
    <w:rsid w:val="13493859"/>
    <w:rsid w:val="13747677"/>
    <w:rsid w:val="140D5B27"/>
    <w:rsid w:val="1411689D"/>
    <w:rsid w:val="14AB5D8A"/>
    <w:rsid w:val="15145AAB"/>
    <w:rsid w:val="154F56B3"/>
    <w:rsid w:val="15797EA9"/>
    <w:rsid w:val="158B6F96"/>
    <w:rsid w:val="158C1535"/>
    <w:rsid w:val="159B4065"/>
    <w:rsid w:val="16604A2E"/>
    <w:rsid w:val="172E3A69"/>
    <w:rsid w:val="17D41BAE"/>
    <w:rsid w:val="18011969"/>
    <w:rsid w:val="18115E55"/>
    <w:rsid w:val="184D5BB9"/>
    <w:rsid w:val="192C6C3E"/>
    <w:rsid w:val="199B3C90"/>
    <w:rsid w:val="1A417E33"/>
    <w:rsid w:val="1A9517A6"/>
    <w:rsid w:val="1B0E0751"/>
    <w:rsid w:val="1B2074A9"/>
    <w:rsid w:val="1B2128D8"/>
    <w:rsid w:val="1B5A5839"/>
    <w:rsid w:val="1BA36832"/>
    <w:rsid w:val="1BD30092"/>
    <w:rsid w:val="1BFB3F13"/>
    <w:rsid w:val="1CA53161"/>
    <w:rsid w:val="1CB86199"/>
    <w:rsid w:val="1CBF0422"/>
    <w:rsid w:val="1CF66742"/>
    <w:rsid w:val="1DFB6806"/>
    <w:rsid w:val="1E4B1ABE"/>
    <w:rsid w:val="1E7A4F75"/>
    <w:rsid w:val="1EB11B3E"/>
    <w:rsid w:val="1F451F4D"/>
    <w:rsid w:val="1F5658D6"/>
    <w:rsid w:val="20713FD3"/>
    <w:rsid w:val="208D6127"/>
    <w:rsid w:val="211F3548"/>
    <w:rsid w:val="21437A7B"/>
    <w:rsid w:val="21A351C3"/>
    <w:rsid w:val="21AD27FB"/>
    <w:rsid w:val="224C111F"/>
    <w:rsid w:val="22795695"/>
    <w:rsid w:val="22AB271D"/>
    <w:rsid w:val="23A11233"/>
    <w:rsid w:val="23CA20A9"/>
    <w:rsid w:val="23F11972"/>
    <w:rsid w:val="23FB6E64"/>
    <w:rsid w:val="240C7B1B"/>
    <w:rsid w:val="241A1A93"/>
    <w:rsid w:val="24316570"/>
    <w:rsid w:val="24474D77"/>
    <w:rsid w:val="246F6FC0"/>
    <w:rsid w:val="24724D2B"/>
    <w:rsid w:val="24B24238"/>
    <w:rsid w:val="25030EBC"/>
    <w:rsid w:val="25B212A9"/>
    <w:rsid w:val="25B825D6"/>
    <w:rsid w:val="271C082A"/>
    <w:rsid w:val="272026D3"/>
    <w:rsid w:val="273638B4"/>
    <w:rsid w:val="275D3FAE"/>
    <w:rsid w:val="27816E20"/>
    <w:rsid w:val="27991856"/>
    <w:rsid w:val="27C052EE"/>
    <w:rsid w:val="27C10873"/>
    <w:rsid w:val="27F07F4B"/>
    <w:rsid w:val="281A0081"/>
    <w:rsid w:val="28EF392E"/>
    <w:rsid w:val="28F67BBD"/>
    <w:rsid w:val="2A143894"/>
    <w:rsid w:val="2A2D36D8"/>
    <w:rsid w:val="2ADE3856"/>
    <w:rsid w:val="2AF92B55"/>
    <w:rsid w:val="2B293465"/>
    <w:rsid w:val="2BAA0022"/>
    <w:rsid w:val="2C083859"/>
    <w:rsid w:val="2C2E62DC"/>
    <w:rsid w:val="2C8A391A"/>
    <w:rsid w:val="2CAF6323"/>
    <w:rsid w:val="2CBD1517"/>
    <w:rsid w:val="2CDE2811"/>
    <w:rsid w:val="2CFE471D"/>
    <w:rsid w:val="2D4A124B"/>
    <w:rsid w:val="2D7A6B69"/>
    <w:rsid w:val="2D965585"/>
    <w:rsid w:val="2DAC2DE8"/>
    <w:rsid w:val="2DF57FB3"/>
    <w:rsid w:val="2E632569"/>
    <w:rsid w:val="2E7A1196"/>
    <w:rsid w:val="2EA2181C"/>
    <w:rsid w:val="2EF445C2"/>
    <w:rsid w:val="2EFB1BCD"/>
    <w:rsid w:val="2F081703"/>
    <w:rsid w:val="2F3972E3"/>
    <w:rsid w:val="2F9D3A44"/>
    <w:rsid w:val="2FAC4AA3"/>
    <w:rsid w:val="2FDE5D5E"/>
    <w:rsid w:val="2FE35667"/>
    <w:rsid w:val="30BD1A37"/>
    <w:rsid w:val="30F2372F"/>
    <w:rsid w:val="3107482C"/>
    <w:rsid w:val="310B1CAF"/>
    <w:rsid w:val="31521188"/>
    <w:rsid w:val="31C2637F"/>
    <w:rsid w:val="31DA2639"/>
    <w:rsid w:val="32034BEF"/>
    <w:rsid w:val="32073433"/>
    <w:rsid w:val="324F38D6"/>
    <w:rsid w:val="32B0085E"/>
    <w:rsid w:val="33A46381"/>
    <w:rsid w:val="33FC3255"/>
    <w:rsid w:val="344275C5"/>
    <w:rsid w:val="34A75123"/>
    <w:rsid w:val="34E34BD8"/>
    <w:rsid w:val="34F578A6"/>
    <w:rsid w:val="35000733"/>
    <w:rsid w:val="354D16A6"/>
    <w:rsid w:val="354D7D0B"/>
    <w:rsid w:val="359009D3"/>
    <w:rsid w:val="35DB3A1F"/>
    <w:rsid w:val="36396F6A"/>
    <w:rsid w:val="36574412"/>
    <w:rsid w:val="36713B06"/>
    <w:rsid w:val="368E6A63"/>
    <w:rsid w:val="36C97D20"/>
    <w:rsid w:val="37022E3E"/>
    <w:rsid w:val="37134ABC"/>
    <w:rsid w:val="37BA15E2"/>
    <w:rsid w:val="381051E0"/>
    <w:rsid w:val="38116573"/>
    <w:rsid w:val="38316628"/>
    <w:rsid w:val="384E7DB5"/>
    <w:rsid w:val="3854639F"/>
    <w:rsid w:val="385F199E"/>
    <w:rsid w:val="3881350E"/>
    <w:rsid w:val="38B87F06"/>
    <w:rsid w:val="38C61897"/>
    <w:rsid w:val="38C723C1"/>
    <w:rsid w:val="3A1F7314"/>
    <w:rsid w:val="3A5E5359"/>
    <w:rsid w:val="3A7D0F8E"/>
    <w:rsid w:val="3AE600D4"/>
    <w:rsid w:val="3B004502"/>
    <w:rsid w:val="3B1845A4"/>
    <w:rsid w:val="3B2542DE"/>
    <w:rsid w:val="3B4607B5"/>
    <w:rsid w:val="3B6C27F8"/>
    <w:rsid w:val="3BA8428B"/>
    <w:rsid w:val="3CBE240F"/>
    <w:rsid w:val="3CD42F36"/>
    <w:rsid w:val="3DBC67AB"/>
    <w:rsid w:val="3E362640"/>
    <w:rsid w:val="3E381132"/>
    <w:rsid w:val="3EBB485D"/>
    <w:rsid w:val="3EE14E57"/>
    <w:rsid w:val="3FEC7D84"/>
    <w:rsid w:val="4006313F"/>
    <w:rsid w:val="40713320"/>
    <w:rsid w:val="407306A6"/>
    <w:rsid w:val="409B3F59"/>
    <w:rsid w:val="40EE7BDF"/>
    <w:rsid w:val="41562CD0"/>
    <w:rsid w:val="415E6B1C"/>
    <w:rsid w:val="418A664A"/>
    <w:rsid w:val="41B038DE"/>
    <w:rsid w:val="41B259A4"/>
    <w:rsid w:val="423B5E2C"/>
    <w:rsid w:val="43054081"/>
    <w:rsid w:val="43603E1A"/>
    <w:rsid w:val="43916CED"/>
    <w:rsid w:val="439F595A"/>
    <w:rsid w:val="43D220D4"/>
    <w:rsid w:val="443D1F93"/>
    <w:rsid w:val="454E5ADC"/>
    <w:rsid w:val="4550785F"/>
    <w:rsid w:val="45A90018"/>
    <w:rsid w:val="461C0C22"/>
    <w:rsid w:val="46606438"/>
    <w:rsid w:val="46B270B8"/>
    <w:rsid w:val="4729341C"/>
    <w:rsid w:val="476210D9"/>
    <w:rsid w:val="47922ED8"/>
    <w:rsid w:val="47EC6E20"/>
    <w:rsid w:val="481A031B"/>
    <w:rsid w:val="48AE39FD"/>
    <w:rsid w:val="48B828EC"/>
    <w:rsid w:val="48C600A8"/>
    <w:rsid w:val="48CB15C2"/>
    <w:rsid w:val="4A25032C"/>
    <w:rsid w:val="4A477E4C"/>
    <w:rsid w:val="4A6E7EC3"/>
    <w:rsid w:val="4A787CD5"/>
    <w:rsid w:val="4A797011"/>
    <w:rsid w:val="4A8D1484"/>
    <w:rsid w:val="4AF04CBA"/>
    <w:rsid w:val="4B5B5A8C"/>
    <w:rsid w:val="4B6A4563"/>
    <w:rsid w:val="4BA97E6D"/>
    <w:rsid w:val="4BB6063B"/>
    <w:rsid w:val="4CDD6EE5"/>
    <w:rsid w:val="4D553BC4"/>
    <w:rsid w:val="4D704051"/>
    <w:rsid w:val="4D805317"/>
    <w:rsid w:val="4D8750D1"/>
    <w:rsid w:val="4DEF511B"/>
    <w:rsid w:val="4DF623AA"/>
    <w:rsid w:val="4E1C5A3D"/>
    <w:rsid w:val="4E737CEB"/>
    <w:rsid w:val="4EDE2656"/>
    <w:rsid w:val="4F225BB7"/>
    <w:rsid w:val="50683201"/>
    <w:rsid w:val="50B86536"/>
    <w:rsid w:val="517476A1"/>
    <w:rsid w:val="522B447C"/>
    <w:rsid w:val="52FC0FEC"/>
    <w:rsid w:val="53190207"/>
    <w:rsid w:val="53C97FAA"/>
    <w:rsid w:val="53F14B1E"/>
    <w:rsid w:val="5449419B"/>
    <w:rsid w:val="54CA4E50"/>
    <w:rsid w:val="555607E2"/>
    <w:rsid w:val="55675DCE"/>
    <w:rsid w:val="557B57AB"/>
    <w:rsid w:val="55BD0F5A"/>
    <w:rsid w:val="55C73A81"/>
    <w:rsid w:val="56317129"/>
    <w:rsid w:val="56B60B6E"/>
    <w:rsid w:val="571B44F0"/>
    <w:rsid w:val="5731179B"/>
    <w:rsid w:val="57EB0C12"/>
    <w:rsid w:val="580973A1"/>
    <w:rsid w:val="583878FF"/>
    <w:rsid w:val="58B10459"/>
    <w:rsid w:val="593E4295"/>
    <w:rsid w:val="593E74F7"/>
    <w:rsid w:val="59422B30"/>
    <w:rsid w:val="5974537C"/>
    <w:rsid w:val="597F0B3E"/>
    <w:rsid w:val="598A1ABA"/>
    <w:rsid w:val="59CD3DE1"/>
    <w:rsid w:val="5A096D8C"/>
    <w:rsid w:val="5A2143A8"/>
    <w:rsid w:val="5A653D20"/>
    <w:rsid w:val="5AF14142"/>
    <w:rsid w:val="5B3E1D7C"/>
    <w:rsid w:val="5B400348"/>
    <w:rsid w:val="5BAD5B2C"/>
    <w:rsid w:val="5BB3586D"/>
    <w:rsid w:val="5BE24B0A"/>
    <w:rsid w:val="5C077DCD"/>
    <w:rsid w:val="5C175858"/>
    <w:rsid w:val="5C712EFF"/>
    <w:rsid w:val="5CA25AE5"/>
    <w:rsid w:val="5CD64845"/>
    <w:rsid w:val="5CF94A40"/>
    <w:rsid w:val="5D117F92"/>
    <w:rsid w:val="5D2C409C"/>
    <w:rsid w:val="5D573216"/>
    <w:rsid w:val="5D781AFF"/>
    <w:rsid w:val="5D79299D"/>
    <w:rsid w:val="5DCC6EC1"/>
    <w:rsid w:val="5DD3285C"/>
    <w:rsid w:val="5DE36591"/>
    <w:rsid w:val="5DEE492A"/>
    <w:rsid w:val="5E464CD5"/>
    <w:rsid w:val="5F505252"/>
    <w:rsid w:val="5F9E15C5"/>
    <w:rsid w:val="5FC63DE8"/>
    <w:rsid w:val="5FDE5D3B"/>
    <w:rsid w:val="60C86BFC"/>
    <w:rsid w:val="61077034"/>
    <w:rsid w:val="615F4780"/>
    <w:rsid w:val="616E0778"/>
    <w:rsid w:val="61EB78D3"/>
    <w:rsid w:val="62C1110C"/>
    <w:rsid w:val="62CC78D6"/>
    <w:rsid w:val="63020DC7"/>
    <w:rsid w:val="633356DB"/>
    <w:rsid w:val="637F0597"/>
    <w:rsid w:val="639965AD"/>
    <w:rsid w:val="63CB5553"/>
    <w:rsid w:val="63FC0C32"/>
    <w:rsid w:val="63FF29D7"/>
    <w:rsid w:val="644903F8"/>
    <w:rsid w:val="64785F0E"/>
    <w:rsid w:val="64E66E36"/>
    <w:rsid w:val="650E2495"/>
    <w:rsid w:val="652076EC"/>
    <w:rsid w:val="65B73888"/>
    <w:rsid w:val="65C4545C"/>
    <w:rsid w:val="662809D5"/>
    <w:rsid w:val="665A17FC"/>
    <w:rsid w:val="6696128B"/>
    <w:rsid w:val="66F2679C"/>
    <w:rsid w:val="671431F9"/>
    <w:rsid w:val="671D6C08"/>
    <w:rsid w:val="672620F9"/>
    <w:rsid w:val="674B3D62"/>
    <w:rsid w:val="674D6E13"/>
    <w:rsid w:val="67561AA3"/>
    <w:rsid w:val="6766461B"/>
    <w:rsid w:val="67B80AD0"/>
    <w:rsid w:val="67B94FB7"/>
    <w:rsid w:val="67C86BDB"/>
    <w:rsid w:val="67FB2572"/>
    <w:rsid w:val="68335AE0"/>
    <w:rsid w:val="684F192F"/>
    <w:rsid w:val="687939A0"/>
    <w:rsid w:val="68AE4DB2"/>
    <w:rsid w:val="68AF5DC3"/>
    <w:rsid w:val="69070CC0"/>
    <w:rsid w:val="69A11EBC"/>
    <w:rsid w:val="6A141186"/>
    <w:rsid w:val="6A38016D"/>
    <w:rsid w:val="6AA84132"/>
    <w:rsid w:val="6AB2378D"/>
    <w:rsid w:val="6B0176A6"/>
    <w:rsid w:val="6B2079E3"/>
    <w:rsid w:val="6B361975"/>
    <w:rsid w:val="6C150FDF"/>
    <w:rsid w:val="6C2A125A"/>
    <w:rsid w:val="6C8D6934"/>
    <w:rsid w:val="6CFF1F39"/>
    <w:rsid w:val="6D827255"/>
    <w:rsid w:val="6D910A49"/>
    <w:rsid w:val="6E4B28A0"/>
    <w:rsid w:val="6E673038"/>
    <w:rsid w:val="6E8E0BF2"/>
    <w:rsid w:val="6EE65B0D"/>
    <w:rsid w:val="6F5D14E3"/>
    <w:rsid w:val="6FDC4479"/>
    <w:rsid w:val="705D6C09"/>
    <w:rsid w:val="711C6A56"/>
    <w:rsid w:val="714950B0"/>
    <w:rsid w:val="719650B3"/>
    <w:rsid w:val="71CD645C"/>
    <w:rsid w:val="71E124D1"/>
    <w:rsid w:val="71E62042"/>
    <w:rsid w:val="72543B31"/>
    <w:rsid w:val="7278693C"/>
    <w:rsid w:val="72924CFD"/>
    <w:rsid w:val="72C95809"/>
    <w:rsid w:val="72EC3AE4"/>
    <w:rsid w:val="72F17FAA"/>
    <w:rsid w:val="73172393"/>
    <w:rsid w:val="732A363E"/>
    <w:rsid w:val="745C4BFB"/>
    <w:rsid w:val="74856598"/>
    <w:rsid w:val="74E40EB7"/>
    <w:rsid w:val="74FF72F3"/>
    <w:rsid w:val="759E6C52"/>
    <w:rsid w:val="75C26468"/>
    <w:rsid w:val="7610220D"/>
    <w:rsid w:val="767335CB"/>
    <w:rsid w:val="768E4A04"/>
    <w:rsid w:val="76A21EFB"/>
    <w:rsid w:val="76A67227"/>
    <w:rsid w:val="76EF3F0D"/>
    <w:rsid w:val="77385AAB"/>
    <w:rsid w:val="778A4699"/>
    <w:rsid w:val="7812431B"/>
    <w:rsid w:val="7898309D"/>
    <w:rsid w:val="78A72664"/>
    <w:rsid w:val="79307F01"/>
    <w:rsid w:val="7A06268A"/>
    <w:rsid w:val="7A2C5330"/>
    <w:rsid w:val="7AB56B4F"/>
    <w:rsid w:val="7AEC512A"/>
    <w:rsid w:val="7B2B33E2"/>
    <w:rsid w:val="7B5A7A81"/>
    <w:rsid w:val="7B5D7556"/>
    <w:rsid w:val="7B6E29EA"/>
    <w:rsid w:val="7B786D3E"/>
    <w:rsid w:val="7C0143C6"/>
    <w:rsid w:val="7C3D626E"/>
    <w:rsid w:val="7C4B77FA"/>
    <w:rsid w:val="7CA235D1"/>
    <w:rsid w:val="7D4A53A1"/>
    <w:rsid w:val="7D647E41"/>
    <w:rsid w:val="7D97551C"/>
    <w:rsid w:val="7D9B3CCA"/>
    <w:rsid w:val="7DEB3125"/>
    <w:rsid w:val="7E313931"/>
    <w:rsid w:val="7E3728E7"/>
    <w:rsid w:val="7EBE3F42"/>
    <w:rsid w:val="7F18404F"/>
    <w:rsid w:val="7F3429DB"/>
    <w:rsid w:val="7F446FD2"/>
    <w:rsid w:val="7F6B1012"/>
    <w:rsid w:val="7F9F29FA"/>
    <w:rsid w:val="7FB2083F"/>
    <w:rsid w:val="7FC84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1"/>
    <w:qFormat/>
    <w:uiPriority w:val="1"/>
    <w:pPr>
      <w:widowControl w:val="0"/>
      <w:adjustRightInd/>
      <w:snapToGrid/>
      <w:spacing w:after="0"/>
      <w:ind w:left="220"/>
    </w:pPr>
    <w:rPr>
      <w:rFonts w:ascii="宋体" w:hAnsi="宋体" w:eastAsia="宋体"/>
      <w:sz w:val="32"/>
      <w:szCs w:val="32"/>
      <w:lang w:eastAsia="en-US"/>
    </w:rPr>
  </w:style>
  <w:style w:type="paragraph" w:styleId="4">
    <w:name w:val="footer"/>
    <w:basedOn w:val="1"/>
    <w:link w:val="20"/>
    <w:semiHidden/>
    <w:unhideWhenUsed/>
    <w:qFormat/>
    <w:uiPriority w:val="99"/>
    <w:pPr>
      <w:tabs>
        <w:tab w:val="center" w:pos="4153"/>
        <w:tab w:val="right" w:pos="8306"/>
      </w:tabs>
    </w:pPr>
    <w:rPr>
      <w:sz w:val="18"/>
      <w:szCs w:val="18"/>
    </w:rPr>
  </w:style>
  <w:style w:type="paragraph" w:styleId="5">
    <w:name w:val="header"/>
    <w:basedOn w:val="1"/>
    <w:link w:val="19"/>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Emphasis"/>
    <w:basedOn w:val="9"/>
    <w:qFormat/>
    <w:uiPriority w:val="20"/>
  </w:style>
  <w:style w:type="character" w:styleId="12">
    <w:name w:val="HTML Definition"/>
    <w:basedOn w:val="9"/>
    <w:semiHidden/>
    <w:unhideWhenUsed/>
    <w:qFormat/>
    <w:uiPriority w:val="99"/>
  </w:style>
  <w:style w:type="character" w:styleId="13">
    <w:name w:val="HTML Variable"/>
    <w:basedOn w:val="9"/>
    <w:semiHidden/>
    <w:unhideWhenUsed/>
    <w:qFormat/>
    <w:uiPriority w:val="99"/>
  </w:style>
  <w:style w:type="character" w:styleId="14">
    <w:name w:val="Hyperlink"/>
    <w:basedOn w:val="9"/>
    <w:semiHidden/>
    <w:unhideWhenUsed/>
    <w:qFormat/>
    <w:uiPriority w:val="99"/>
    <w:rPr>
      <w:color w:val="338DE6"/>
      <w:u w:val="none"/>
    </w:rPr>
  </w:style>
  <w:style w:type="character" w:styleId="15">
    <w:name w:val="HTML Code"/>
    <w:basedOn w:val="9"/>
    <w:semiHidden/>
    <w:unhideWhenUsed/>
    <w:qFormat/>
    <w:uiPriority w:val="99"/>
    <w:rPr>
      <w:rFonts w:hint="default" w:ascii="serif" w:hAnsi="serif" w:eastAsia="serif" w:cs="serif"/>
      <w:sz w:val="21"/>
      <w:szCs w:val="21"/>
    </w:rPr>
  </w:style>
  <w:style w:type="character" w:styleId="16">
    <w:name w:val="HTML Cite"/>
    <w:basedOn w:val="9"/>
    <w:semiHidden/>
    <w:unhideWhenUsed/>
    <w:qFormat/>
    <w:uiPriority w:val="99"/>
  </w:style>
  <w:style w:type="character" w:styleId="17">
    <w:name w:val="HTML Keyboard"/>
    <w:basedOn w:val="9"/>
    <w:semiHidden/>
    <w:unhideWhenUsed/>
    <w:qFormat/>
    <w:uiPriority w:val="99"/>
    <w:rPr>
      <w:rFonts w:ascii="serif" w:hAnsi="serif" w:eastAsia="serif" w:cs="serif"/>
      <w:sz w:val="21"/>
      <w:szCs w:val="21"/>
    </w:rPr>
  </w:style>
  <w:style w:type="character" w:styleId="18">
    <w:name w:val="HTML Sample"/>
    <w:basedOn w:val="9"/>
    <w:semiHidden/>
    <w:unhideWhenUsed/>
    <w:qFormat/>
    <w:uiPriority w:val="99"/>
    <w:rPr>
      <w:rFonts w:hint="default" w:ascii="serif" w:hAnsi="serif" w:eastAsia="serif" w:cs="serif"/>
      <w:sz w:val="21"/>
      <w:szCs w:val="21"/>
    </w:rPr>
  </w:style>
  <w:style w:type="character" w:customStyle="1" w:styleId="19">
    <w:name w:val="页眉 Char"/>
    <w:basedOn w:val="9"/>
    <w:link w:val="5"/>
    <w:semiHidden/>
    <w:qFormat/>
    <w:uiPriority w:val="99"/>
    <w:rPr>
      <w:rFonts w:ascii="Tahoma" w:hAnsi="Tahoma"/>
      <w:sz w:val="18"/>
      <w:szCs w:val="18"/>
    </w:rPr>
  </w:style>
  <w:style w:type="character" w:customStyle="1" w:styleId="20">
    <w:name w:val="页脚 Char"/>
    <w:basedOn w:val="9"/>
    <w:link w:val="4"/>
    <w:semiHidden/>
    <w:qFormat/>
    <w:uiPriority w:val="99"/>
    <w:rPr>
      <w:rFonts w:ascii="Tahoma" w:hAnsi="Tahoma"/>
      <w:sz w:val="18"/>
      <w:szCs w:val="18"/>
    </w:rPr>
  </w:style>
  <w:style w:type="character" w:customStyle="1" w:styleId="21">
    <w:name w:val="正文文本 Char"/>
    <w:basedOn w:val="9"/>
    <w:link w:val="3"/>
    <w:qFormat/>
    <w:uiPriority w:val="1"/>
    <w:rPr>
      <w:rFonts w:ascii="宋体" w:hAnsi="宋体" w:eastAsia="宋体"/>
      <w:sz w:val="32"/>
      <w:szCs w:val="32"/>
      <w:lang w:eastAsia="en-US"/>
    </w:rPr>
  </w:style>
  <w:style w:type="character" w:customStyle="1" w:styleId="22">
    <w:name w:val="fontborder"/>
    <w:basedOn w:val="9"/>
    <w:qFormat/>
    <w:uiPriority w:val="0"/>
    <w:rPr>
      <w:bdr w:val="single" w:color="000000" w:sz="6" w:space="0"/>
    </w:rPr>
  </w:style>
  <w:style w:type="character" w:customStyle="1" w:styleId="23">
    <w:name w:val="fontstrikethrough"/>
    <w:basedOn w:val="9"/>
    <w:qFormat/>
    <w:uiPriority w:val="0"/>
    <w:rPr>
      <w:strik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410</Words>
  <Characters>2340</Characters>
  <Lines>19</Lines>
  <Paragraphs>5</Paragraphs>
  <TotalTime>113</TotalTime>
  <ScaleCrop>false</ScaleCrop>
  <LinksUpToDate>false</LinksUpToDate>
  <CharactersWithSpaces>2745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wolong2457</cp:lastModifiedBy>
  <cp:lastPrinted>2021-09-30T01:00:00Z</cp:lastPrinted>
  <dcterms:modified xsi:type="dcterms:W3CDTF">2021-10-08T03:10:05Z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491846F0EDC84D4D8BAB70458AA4BF91</vt:lpwstr>
  </property>
</Properties>
</file>