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spacing w:before="0" w:beforeAutospacing="0" w:after="0" w:afterAutospacing="0" w:line="450" w:lineRule="atLeast"/>
        <w:rPr>
          <w:rFonts w:hint="eastAsia" w:ascii="黑体" w:hAnsi="黑体" w:eastAsia="黑体"/>
          <w:sz w:val="32"/>
          <w:szCs w:val="32"/>
        </w:rPr>
      </w:pPr>
      <w:bookmarkStart w:id="0" w:name="_GoBack"/>
      <w:bookmarkEnd w:id="0"/>
      <w:r>
        <w:rPr>
          <w:rFonts w:hint="eastAsia" w:ascii="黑体" w:hAnsi="黑体" w:eastAsia="黑体" w:cs="方正黑体_GBK"/>
          <w:color w:val="333333"/>
          <w:sz w:val="32"/>
          <w:szCs w:val="32"/>
          <w:shd w:val="clear" w:color="auto" w:fill="FFFFFF"/>
        </w:rPr>
        <w:t>附件</w:t>
      </w:r>
      <w:r>
        <w:rPr>
          <w:rFonts w:hint="eastAsia" w:ascii="黑体" w:hAnsi="黑体" w:eastAsia="黑体" w:cs="微软雅黑"/>
          <w:color w:val="333333"/>
          <w:sz w:val="32"/>
          <w:szCs w:val="32"/>
          <w:shd w:val="clear" w:color="auto" w:fill="FFFFFF"/>
        </w:rPr>
        <w:t>6</w:t>
      </w:r>
    </w:p>
    <w:p>
      <w:pPr>
        <w:pStyle w:val="4"/>
        <w:widowControl/>
        <w:spacing w:before="0" w:beforeAutospacing="0" w:after="0" w:afterAutospacing="0" w:line="720" w:lineRule="atLeast"/>
        <w:jc w:val="center"/>
        <w:rPr>
          <w:rFonts w:hint="eastAsia" w:ascii="方正小标宋简体" w:eastAsia="方正小标宋简体"/>
          <w:sz w:val="44"/>
          <w:szCs w:val="44"/>
        </w:rPr>
      </w:pPr>
      <w:r>
        <w:rPr>
          <w:rFonts w:hint="eastAsia" w:ascii="方正小标宋简体" w:hAnsi="方正小标宋_GBK" w:eastAsia="方正小标宋简体" w:cs="方正小标宋_GBK"/>
          <w:color w:val="333333"/>
          <w:sz w:val="44"/>
          <w:szCs w:val="44"/>
          <w:shd w:val="clear" w:color="auto" w:fill="FFFFFF"/>
        </w:rPr>
        <w:t>严重违法失信名单列入情形法律责任清单</w:t>
      </w:r>
    </w:p>
    <w:p>
      <w:pPr>
        <w:pStyle w:val="4"/>
        <w:widowControl/>
        <w:spacing w:before="0" w:beforeAutospacing="0" w:after="0" w:afterAutospacing="0" w:line="720" w:lineRule="atLeast"/>
        <w:jc w:val="center"/>
        <w:rPr>
          <w:sz w:val="31"/>
          <w:szCs w:val="31"/>
        </w:rPr>
      </w:pPr>
      <w:r>
        <w:rPr>
          <w:rFonts w:hint="eastAsia" w:ascii="方正楷体_GBK" w:hAnsi="方正楷体_GBK" w:eastAsia="方正楷体_GBK" w:cs="方正楷体_GBK"/>
          <w:color w:val="333333"/>
          <w:shd w:val="clear" w:color="auto" w:fill="FFFFFF"/>
        </w:rPr>
        <w:t>（此清单仅供参考，并应当根据法律法规立改废及时更新）</w:t>
      </w:r>
    </w:p>
    <w:tbl>
      <w:tblPr>
        <w:tblStyle w:val="5"/>
        <w:tblW w:w="10200" w:type="dxa"/>
        <w:jc w:val="center"/>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autofit"/>
        <w:tblCellMar>
          <w:top w:w="0" w:type="dxa"/>
          <w:left w:w="0" w:type="dxa"/>
          <w:bottom w:w="0" w:type="dxa"/>
          <w:right w:w="0" w:type="dxa"/>
        </w:tblCellMar>
      </w:tblPr>
      <w:tblGrid>
        <w:gridCol w:w="380"/>
        <w:gridCol w:w="553"/>
        <w:gridCol w:w="2708"/>
        <w:gridCol w:w="6559"/>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540" w:hRule="atLeast"/>
          <w:tblHeader/>
          <w:jc w:val="center"/>
        </w:trPr>
        <w:tc>
          <w:tcPr>
            <w:tcW w:w="380" w:type="dxa"/>
            <w:tcBorders>
              <w:top w:val="single" w:color="000000" w:sz="6" w:space="0"/>
              <w:left w:val="single" w:color="000000" w:sz="6" w:space="0"/>
              <w:bottom w:val="single" w:color="000000" w:sz="6" w:space="0"/>
              <w:right w:val="single" w:color="000000" w:sz="6" w:space="0"/>
            </w:tcBorders>
            <w:noWrap w:val="0"/>
            <w:tcMar>
              <w:top w:w="14" w:type="dxa"/>
              <w:left w:w="14" w:type="dxa"/>
              <w:right w:w="14" w:type="dxa"/>
            </w:tcMar>
            <w:vAlign w:val="center"/>
          </w:tcPr>
          <w:p>
            <w:pPr>
              <w:pStyle w:val="4"/>
              <w:widowControl/>
              <w:snapToGrid w:val="0"/>
              <w:spacing w:before="0" w:beforeAutospacing="0" w:after="0" w:afterAutospacing="0"/>
              <w:jc w:val="center"/>
              <w:rPr>
                <w:sz w:val="31"/>
                <w:szCs w:val="31"/>
              </w:rPr>
            </w:pPr>
            <w:r>
              <w:rPr>
                <w:rFonts w:hint="eastAsia" w:ascii="方正黑体_GBK" w:hAnsi="方正黑体_GBK" w:eastAsia="方正黑体_GBK" w:cs="方正黑体_GBK"/>
                <w:color w:val="000000"/>
                <w:sz w:val="20"/>
                <w:szCs w:val="20"/>
              </w:rPr>
              <w:t>条款</w:t>
            </w:r>
          </w:p>
        </w:tc>
        <w:tc>
          <w:tcPr>
            <w:tcW w:w="553" w:type="dxa"/>
            <w:tcBorders>
              <w:top w:val="single" w:color="000000" w:sz="6" w:space="0"/>
              <w:left w:val="single" w:color="000000" w:sz="6" w:space="0"/>
              <w:bottom w:val="single" w:color="000000" w:sz="6" w:space="0"/>
              <w:right w:val="single" w:color="000000" w:sz="6" w:space="0"/>
            </w:tcBorders>
            <w:noWrap w:val="0"/>
            <w:tcMar>
              <w:top w:w="14" w:type="dxa"/>
              <w:left w:w="14" w:type="dxa"/>
              <w:right w:w="14" w:type="dxa"/>
            </w:tcMar>
            <w:vAlign w:val="center"/>
          </w:tcPr>
          <w:p>
            <w:pPr>
              <w:pStyle w:val="4"/>
              <w:widowControl/>
              <w:snapToGrid w:val="0"/>
              <w:spacing w:before="0" w:beforeAutospacing="0" w:after="0" w:afterAutospacing="0"/>
              <w:jc w:val="center"/>
              <w:rPr>
                <w:sz w:val="31"/>
                <w:szCs w:val="31"/>
              </w:rPr>
            </w:pPr>
            <w:r>
              <w:rPr>
                <w:rFonts w:hint="eastAsia" w:ascii="方正黑体_GBK" w:hAnsi="方正黑体_GBK" w:eastAsia="方正黑体_GBK" w:cs="方正黑体_GBK"/>
                <w:color w:val="000000"/>
                <w:sz w:val="20"/>
                <w:szCs w:val="20"/>
              </w:rPr>
              <w:t>违法行为</w:t>
            </w:r>
          </w:p>
        </w:tc>
        <w:tc>
          <w:tcPr>
            <w:tcW w:w="2708" w:type="dxa"/>
            <w:tcBorders>
              <w:top w:val="single" w:color="000000" w:sz="6" w:space="0"/>
              <w:left w:val="single" w:color="000000" w:sz="6" w:space="0"/>
              <w:bottom w:val="single" w:color="000000" w:sz="6" w:space="0"/>
              <w:right w:val="single" w:color="000000" w:sz="6" w:space="0"/>
            </w:tcBorders>
            <w:noWrap w:val="0"/>
            <w:tcMar>
              <w:top w:w="14" w:type="dxa"/>
              <w:left w:w="14" w:type="dxa"/>
              <w:right w:w="14" w:type="dxa"/>
            </w:tcMar>
            <w:vAlign w:val="center"/>
          </w:tcPr>
          <w:p>
            <w:pPr>
              <w:pStyle w:val="4"/>
              <w:widowControl/>
              <w:snapToGrid w:val="0"/>
              <w:spacing w:before="0" w:beforeAutospacing="0" w:after="0" w:afterAutospacing="0"/>
              <w:jc w:val="center"/>
              <w:rPr>
                <w:sz w:val="31"/>
                <w:szCs w:val="31"/>
              </w:rPr>
            </w:pPr>
            <w:r>
              <w:rPr>
                <w:rFonts w:hint="eastAsia" w:ascii="方正黑体_GBK" w:hAnsi="方正黑体_GBK" w:eastAsia="方正黑体_GBK" w:cs="方正黑体_GBK"/>
                <w:color w:val="000000"/>
                <w:sz w:val="20"/>
                <w:szCs w:val="20"/>
              </w:rPr>
              <w:t>具体情形</w:t>
            </w:r>
          </w:p>
        </w:tc>
        <w:tc>
          <w:tcPr>
            <w:tcW w:w="6559" w:type="dxa"/>
            <w:tcBorders>
              <w:top w:val="single" w:color="000000" w:sz="6" w:space="0"/>
              <w:left w:val="single" w:color="000000" w:sz="6" w:space="0"/>
              <w:bottom w:val="single" w:color="000000" w:sz="6" w:space="0"/>
              <w:right w:val="single" w:color="000000" w:sz="6" w:space="0"/>
            </w:tcBorders>
            <w:noWrap w:val="0"/>
            <w:tcMar>
              <w:top w:w="14" w:type="dxa"/>
              <w:left w:w="14" w:type="dxa"/>
              <w:right w:w="14" w:type="dxa"/>
            </w:tcMar>
            <w:vAlign w:val="center"/>
          </w:tcPr>
          <w:p>
            <w:pPr>
              <w:pStyle w:val="4"/>
              <w:widowControl/>
              <w:snapToGrid w:val="0"/>
              <w:spacing w:before="0" w:beforeAutospacing="0" w:after="0" w:afterAutospacing="0"/>
              <w:jc w:val="center"/>
              <w:rPr>
                <w:sz w:val="31"/>
                <w:szCs w:val="31"/>
              </w:rPr>
            </w:pPr>
            <w:r>
              <w:rPr>
                <w:rFonts w:hint="eastAsia" w:ascii="方正黑体_GBK" w:hAnsi="方正黑体_GBK" w:eastAsia="方正黑体_GBK" w:cs="方正黑体_GBK"/>
                <w:color w:val="000000"/>
                <w:sz w:val="20"/>
                <w:szCs w:val="20"/>
              </w:rPr>
              <w:t>法律责任</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380" w:type="dxa"/>
            <w:vMerge w:val="restart"/>
            <w:tcBorders>
              <w:top w:val="single" w:color="000000" w:sz="6" w:space="0"/>
              <w:left w:val="single" w:color="000000" w:sz="6" w:space="0"/>
              <w:bottom w:val="single" w:color="000000" w:sz="6" w:space="0"/>
              <w:right w:val="single" w:color="000000" w:sz="6" w:space="0"/>
            </w:tcBorders>
            <w:noWrap w:val="0"/>
            <w:tcMar>
              <w:top w:w="14" w:type="dxa"/>
              <w:left w:w="14" w:type="dxa"/>
              <w:right w:w="14" w:type="dxa"/>
            </w:tcMar>
            <w:vAlign w:val="center"/>
          </w:tcPr>
          <w:p>
            <w:pPr>
              <w:pStyle w:val="4"/>
              <w:widowControl/>
              <w:snapToGrid w:val="0"/>
              <w:spacing w:before="0" w:beforeAutospacing="0" w:after="0" w:afterAutospacing="0"/>
              <w:jc w:val="center"/>
              <w:rPr>
                <w:sz w:val="31"/>
                <w:szCs w:val="31"/>
              </w:rPr>
            </w:pPr>
            <w:r>
              <w:rPr>
                <w:rFonts w:hint="eastAsia" w:ascii="方正仿宋_GBK" w:hAnsi="方正仿宋_GBK" w:eastAsia="方正仿宋_GBK" w:cs="方正仿宋_GBK"/>
                <w:color w:val="000000"/>
                <w:sz w:val="20"/>
                <w:szCs w:val="20"/>
              </w:rPr>
              <w:t>第五条</w:t>
            </w:r>
          </w:p>
        </w:tc>
        <w:tc>
          <w:tcPr>
            <w:tcW w:w="553" w:type="dxa"/>
            <w:vMerge w:val="restart"/>
            <w:tcBorders>
              <w:top w:val="single" w:color="000000" w:sz="6" w:space="0"/>
              <w:left w:val="single" w:color="000000" w:sz="6" w:space="0"/>
              <w:bottom w:val="single" w:color="000000" w:sz="6" w:space="0"/>
              <w:right w:val="single" w:color="000000" w:sz="6" w:space="0"/>
            </w:tcBorders>
            <w:noWrap w:val="0"/>
            <w:tcMar>
              <w:top w:w="14" w:type="dxa"/>
              <w:left w:w="14" w:type="dxa"/>
              <w:right w:w="14" w:type="dxa"/>
            </w:tcMar>
            <w:vAlign w:val="center"/>
          </w:tcPr>
          <w:p>
            <w:pPr>
              <w:pStyle w:val="4"/>
              <w:widowControl/>
              <w:snapToGrid w:val="0"/>
              <w:spacing w:before="0" w:beforeAutospacing="0" w:after="0" w:afterAutospacing="0"/>
              <w:rPr>
                <w:rFonts w:hint="eastAsia" w:eastAsia="方正仿宋_GBK"/>
                <w:sz w:val="31"/>
                <w:szCs w:val="31"/>
              </w:rPr>
            </w:pPr>
            <w:r>
              <w:rPr>
                <w:rFonts w:hint="eastAsia" w:ascii="方正仿宋_GBK" w:hAnsi="方正仿宋_GBK" w:eastAsia="方正仿宋_GBK" w:cs="方正仿宋_GBK"/>
                <w:color w:val="000000"/>
                <w:sz w:val="20"/>
                <w:szCs w:val="20"/>
              </w:rPr>
              <w:t>食品安全领域违法行为</w:t>
            </w:r>
          </w:p>
        </w:tc>
        <w:tc>
          <w:tcPr>
            <w:tcW w:w="2708" w:type="dxa"/>
            <w:tcBorders>
              <w:top w:val="single" w:color="000000" w:sz="6" w:space="0"/>
              <w:left w:val="single" w:color="000000" w:sz="6" w:space="0"/>
              <w:bottom w:val="single" w:color="000000" w:sz="6" w:space="0"/>
              <w:right w:val="single" w:color="000000" w:sz="6" w:space="0"/>
            </w:tcBorders>
            <w:noWrap w:val="0"/>
            <w:tcMar>
              <w:top w:w="14" w:type="dxa"/>
              <w:left w:w="14" w:type="dxa"/>
              <w:right w:w="14" w:type="dxa"/>
            </w:tcMar>
            <w:vAlign w:val="center"/>
          </w:tcPr>
          <w:p>
            <w:pPr>
              <w:pStyle w:val="4"/>
              <w:widowControl/>
              <w:snapToGrid w:val="0"/>
              <w:spacing w:before="0" w:beforeAutospacing="0" w:after="0" w:afterAutospacing="0"/>
              <w:rPr>
                <w:sz w:val="31"/>
                <w:szCs w:val="31"/>
              </w:rPr>
            </w:pPr>
            <w:r>
              <w:rPr>
                <w:rFonts w:hint="eastAsia" w:ascii="方正仿宋_GBK" w:hAnsi="方正仿宋_GBK" w:eastAsia="方正仿宋_GBK" w:cs="方正仿宋_GBK"/>
                <w:color w:val="000000"/>
                <w:sz w:val="20"/>
                <w:szCs w:val="20"/>
              </w:rPr>
              <w:t>未依法取得食品生产经营许可从事食品生产经营活动</w:t>
            </w:r>
          </w:p>
        </w:tc>
        <w:tc>
          <w:tcPr>
            <w:tcW w:w="6559" w:type="dxa"/>
            <w:tcBorders>
              <w:top w:val="single" w:color="000000" w:sz="6" w:space="0"/>
              <w:left w:val="single" w:color="000000" w:sz="6" w:space="0"/>
              <w:bottom w:val="single" w:color="000000" w:sz="6" w:space="0"/>
              <w:right w:val="single" w:color="000000" w:sz="6" w:space="0"/>
            </w:tcBorders>
            <w:noWrap w:val="0"/>
            <w:tcMar>
              <w:top w:w="14" w:type="dxa"/>
              <w:left w:w="14" w:type="dxa"/>
              <w:right w:w="14" w:type="dxa"/>
            </w:tcMar>
            <w:vAlign w:val="center"/>
          </w:tcPr>
          <w:p>
            <w:pPr>
              <w:pStyle w:val="4"/>
              <w:widowControl/>
              <w:snapToGrid w:val="0"/>
              <w:spacing w:before="0" w:beforeAutospacing="0" w:after="0" w:afterAutospacing="0"/>
              <w:rPr>
                <w:sz w:val="31"/>
                <w:szCs w:val="31"/>
              </w:rPr>
            </w:pPr>
            <w:r>
              <w:rPr>
                <w:rFonts w:hint="eastAsia" w:ascii="方正仿宋_GBK" w:hAnsi="方正仿宋_GBK" w:eastAsia="方正仿宋_GBK" w:cs="方正仿宋_GBK"/>
                <w:b/>
                <w:bCs/>
                <w:color w:val="000000"/>
                <w:sz w:val="20"/>
                <w:szCs w:val="20"/>
              </w:rPr>
              <w:t>《食品安全法》第一百二十二条：</w:t>
            </w:r>
            <w:r>
              <w:rPr>
                <w:rFonts w:hint="eastAsia" w:ascii="方正仿宋_GBK" w:hAnsi="方正仿宋_GBK" w:eastAsia="方正仿宋_GBK" w:cs="方正仿宋_GBK"/>
                <w:color w:val="000000"/>
                <w:sz w:val="20"/>
                <w:szCs w:val="20"/>
              </w:rPr>
              <w:t>违反本法规定，未取得食品生产经营许可从事食品生产经营活动，或者未取得食品添加剂生产许可从事食品添加剂生产活动的，由县级以上人民政府食品安全监督管理部门没收违法所得和违法生产经营的食品、食品添加剂以及用于违法生产经营的工具、设备、原料等物品；违法生产经营的食品、食品添加剂货值金额不足一万元的，并处五万元以上十万元以下罚款；货值金额一万元以上的，并处货值金额十倍以上二十倍以下罚款。</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380" w:type="dxa"/>
            <w:vMerge w:val="continue"/>
            <w:tcBorders>
              <w:top w:val="single" w:color="000000" w:sz="6" w:space="0"/>
              <w:left w:val="single" w:color="000000" w:sz="6" w:space="0"/>
              <w:bottom w:val="single" w:color="000000" w:sz="6" w:space="0"/>
              <w:right w:val="single" w:color="000000" w:sz="6" w:space="0"/>
            </w:tcBorders>
            <w:noWrap w:val="0"/>
            <w:tcMar>
              <w:top w:w="14" w:type="dxa"/>
              <w:left w:w="14" w:type="dxa"/>
              <w:right w:w="14" w:type="dxa"/>
            </w:tcMar>
            <w:vAlign w:val="center"/>
          </w:tcPr>
          <w:p>
            <w:pPr>
              <w:snapToGrid w:val="0"/>
              <w:rPr>
                <w:rFonts w:hint="eastAsia" w:ascii="宋体"/>
                <w:color w:val="333333"/>
                <w:sz w:val="24"/>
              </w:rPr>
            </w:pPr>
          </w:p>
        </w:tc>
        <w:tc>
          <w:tcPr>
            <w:tcW w:w="553" w:type="dxa"/>
            <w:vMerge w:val="continue"/>
            <w:tcBorders>
              <w:top w:val="single" w:color="000000" w:sz="6" w:space="0"/>
              <w:left w:val="single" w:color="000000" w:sz="6" w:space="0"/>
              <w:bottom w:val="single" w:color="000000" w:sz="6" w:space="0"/>
              <w:right w:val="single" w:color="000000" w:sz="6" w:space="0"/>
            </w:tcBorders>
            <w:noWrap w:val="0"/>
            <w:tcMar>
              <w:top w:w="14" w:type="dxa"/>
              <w:left w:w="14" w:type="dxa"/>
              <w:right w:w="14" w:type="dxa"/>
            </w:tcMar>
            <w:vAlign w:val="center"/>
          </w:tcPr>
          <w:p>
            <w:pPr>
              <w:snapToGrid w:val="0"/>
              <w:rPr>
                <w:rFonts w:hint="eastAsia" w:ascii="宋体"/>
                <w:color w:val="333333"/>
                <w:sz w:val="24"/>
              </w:rPr>
            </w:pPr>
          </w:p>
        </w:tc>
        <w:tc>
          <w:tcPr>
            <w:tcW w:w="2708" w:type="dxa"/>
            <w:tcBorders>
              <w:top w:val="single" w:color="000000" w:sz="6" w:space="0"/>
              <w:left w:val="single" w:color="000000" w:sz="6" w:space="0"/>
              <w:bottom w:val="single" w:color="000000" w:sz="6" w:space="0"/>
              <w:right w:val="single" w:color="000000" w:sz="6" w:space="0"/>
            </w:tcBorders>
            <w:noWrap w:val="0"/>
            <w:tcMar>
              <w:top w:w="14" w:type="dxa"/>
              <w:left w:w="14" w:type="dxa"/>
              <w:right w:w="14" w:type="dxa"/>
            </w:tcMar>
            <w:vAlign w:val="center"/>
          </w:tcPr>
          <w:p>
            <w:pPr>
              <w:pStyle w:val="4"/>
              <w:widowControl/>
              <w:snapToGrid w:val="0"/>
              <w:spacing w:before="0" w:beforeAutospacing="0" w:after="0" w:afterAutospacing="0"/>
              <w:rPr>
                <w:sz w:val="31"/>
                <w:szCs w:val="31"/>
              </w:rPr>
            </w:pPr>
            <w:r>
              <w:rPr>
                <w:rFonts w:hint="eastAsia" w:ascii="方正仿宋_GBK" w:hAnsi="方正仿宋_GBK" w:eastAsia="方正仿宋_GBK" w:cs="方正仿宋_GBK"/>
                <w:color w:val="000000"/>
                <w:sz w:val="20"/>
                <w:szCs w:val="20"/>
              </w:rPr>
              <w:t>用非食品原料生产食品；在食品中添加食品添加剂以外的化学物质和其他可能危害人体健康的物质；生产经营营养成分不符合食品安全标准的专供婴幼儿和其他特定人群的主辅食品；生产经营添加药品的食品；生产经营病死、毒死或者死因不明的禽、畜、兽、水产动物肉类及其制品；生产经营未按规定进行检疫或者检疫不合格的肉类；生产经营国家为防病等特殊需要明令禁止生产经营的食品；</w:t>
            </w:r>
          </w:p>
        </w:tc>
        <w:tc>
          <w:tcPr>
            <w:tcW w:w="6559" w:type="dxa"/>
            <w:tcBorders>
              <w:top w:val="single" w:color="000000" w:sz="6" w:space="0"/>
              <w:left w:val="single" w:color="000000" w:sz="6" w:space="0"/>
              <w:bottom w:val="single" w:color="000000" w:sz="6" w:space="0"/>
              <w:right w:val="single" w:color="000000" w:sz="6" w:space="0"/>
            </w:tcBorders>
            <w:noWrap w:val="0"/>
            <w:tcMar>
              <w:top w:w="14" w:type="dxa"/>
              <w:left w:w="14" w:type="dxa"/>
              <w:right w:w="14" w:type="dxa"/>
            </w:tcMar>
            <w:vAlign w:val="center"/>
          </w:tcPr>
          <w:p>
            <w:pPr>
              <w:pStyle w:val="4"/>
              <w:widowControl/>
              <w:snapToGrid w:val="0"/>
              <w:spacing w:before="0" w:beforeAutospacing="0" w:after="0" w:afterAutospacing="0"/>
              <w:rPr>
                <w:sz w:val="31"/>
                <w:szCs w:val="31"/>
              </w:rPr>
            </w:pPr>
            <w:r>
              <w:rPr>
                <w:rFonts w:hint="eastAsia" w:ascii="方正仿宋_GBK" w:hAnsi="方正仿宋_GBK" w:eastAsia="方正仿宋_GBK" w:cs="方正仿宋_GBK"/>
                <w:b/>
                <w:bCs/>
                <w:color w:val="000000"/>
                <w:sz w:val="20"/>
                <w:szCs w:val="20"/>
              </w:rPr>
              <w:t>《食品安全法》第一百二十三条</w:t>
            </w:r>
            <w:r>
              <w:rPr>
                <w:rFonts w:hint="eastAsia" w:ascii="方正仿宋_GBK" w:hAnsi="方正仿宋_GBK" w:eastAsia="方正仿宋_GBK" w:cs="方正仿宋_GBK"/>
                <w:color w:val="000000"/>
                <w:sz w:val="20"/>
                <w:szCs w:val="20"/>
              </w:rPr>
              <w:t>：违反本法规定，有下列情形之一，尚不构成犯罪的，由县级以上人民政府食品安全监督管理部门没收违法所得和违法生产经营的食品，并可以没收用于违法生产经营的工具、设备、原料等物品；违法生产经营的食品货值金额不足一万元的，并处十万元以上十五万元以下罚款；货值金额一万元以上的，并处货值金额十五倍以上三十倍以下罚款；情节严重的，吊销许可证，并可以由公安机关</w:t>
            </w:r>
            <w:r>
              <w:rPr>
                <w:rFonts w:hint="eastAsia" w:ascii="方正仿宋_GBK" w:hAnsi="方正仿宋_GBK" w:eastAsia="方正仿宋_GBK" w:cs="方正仿宋_GBK"/>
                <w:color w:val="333333"/>
                <w:sz w:val="20"/>
                <w:szCs w:val="20"/>
              </w:rPr>
              <w:t>对其直接负责的主管人员和其他直接责任人员处五日以上十五日以下拘留：（一）用非食品原料生产食品、在食品中添加食品添加剂以外的化学物质和其他可能危害人体健康的物质，或者用回收食品作为原料生产食品，或者经营上述食品；（二）生产经营营养成分不符合食品安全标准的专供婴幼儿和其他特定人群的主辅食品；（三）经营病死、毒死或者死因不明的禽、畜、兽、水产动物肉类，或者生产经营其制品；（四）经营未按规定进行检疫或者检疫不合格的肉类，或者生产经营未经检验或者检验不合格的肉类制品；（五）生产经营国家为防病等特殊需要明令禁止生产经营的食品；（六）生产经营添加药品的食品。</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380" w:type="dxa"/>
            <w:vMerge w:val="continue"/>
            <w:tcBorders>
              <w:top w:val="single" w:color="000000" w:sz="6" w:space="0"/>
              <w:left w:val="single" w:color="000000" w:sz="6" w:space="0"/>
              <w:bottom w:val="single" w:color="000000" w:sz="6" w:space="0"/>
              <w:right w:val="single" w:color="000000" w:sz="6" w:space="0"/>
            </w:tcBorders>
            <w:noWrap w:val="0"/>
            <w:tcMar>
              <w:top w:w="14" w:type="dxa"/>
              <w:left w:w="14" w:type="dxa"/>
              <w:right w:w="14" w:type="dxa"/>
            </w:tcMar>
            <w:vAlign w:val="center"/>
          </w:tcPr>
          <w:p>
            <w:pPr>
              <w:snapToGrid w:val="0"/>
              <w:rPr>
                <w:rFonts w:hint="eastAsia" w:ascii="宋体"/>
                <w:color w:val="333333"/>
                <w:sz w:val="24"/>
              </w:rPr>
            </w:pPr>
          </w:p>
        </w:tc>
        <w:tc>
          <w:tcPr>
            <w:tcW w:w="553" w:type="dxa"/>
            <w:vMerge w:val="continue"/>
            <w:tcBorders>
              <w:top w:val="single" w:color="000000" w:sz="6" w:space="0"/>
              <w:left w:val="single" w:color="000000" w:sz="6" w:space="0"/>
              <w:bottom w:val="single" w:color="000000" w:sz="6" w:space="0"/>
              <w:right w:val="single" w:color="000000" w:sz="6" w:space="0"/>
            </w:tcBorders>
            <w:noWrap w:val="0"/>
            <w:tcMar>
              <w:top w:w="14" w:type="dxa"/>
              <w:left w:w="14" w:type="dxa"/>
              <w:right w:w="14" w:type="dxa"/>
            </w:tcMar>
            <w:vAlign w:val="center"/>
          </w:tcPr>
          <w:p>
            <w:pPr>
              <w:snapToGrid w:val="0"/>
              <w:rPr>
                <w:rFonts w:hint="eastAsia" w:ascii="宋体"/>
                <w:color w:val="333333"/>
                <w:sz w:val="24"/>
              </w:rPr>
            </w:pPr>
          </w:p>
        </w:tc>
        <w:tc>
          <w:tcPr>
            <w:tcW w:w="2708" w:type="dxa"/>
            <w:vMerge w:val="restart"/>
            <w:tcBorders>
              <w:top w:val="single" w:color="000000" w:sz="6" w:space="0"/>
              <w:left w:val="single" w:color="000000" w:sz="6" w:space="0"/>
              <w:bottom w:val="single" w:color="000000" w:sz="6" w:space="0"/>
              <w:right w:val="single" w:color="000000" w:sz="6" w:space="0"/>
            </w:tcBorders>
            <w:noWrap w:val="0"/>
            <w:tcMar>
              <w:top w:w="14" w:type="dxa"/>
              <w:left w:w="14" w:type="dxa"/>
              <w:right w:w="14" w:type="dxa"/>
            </w:tcMar>
            <w:vAlign w:val="center"/>
          </w:tcPr>
          <w:p>
            <w:pPr>
              <w:pStyle w:val="4"/>
              <w:widowControl/>
              <w:snapToGrid w:val="0"/>
              <w:spacing w:before="0" w:beforeAutospacing="0" w:after="0" w:afterAutospacing="0"/>
              <w:rPr>
                <w:sz w:val="31"/>
                <w:szCs w:val="31"/>
              </w:rPr>
            </w:pPr>
            <w:r>
              <w:rPr>
                <w:rFonts w:hint="eastAsia" w:ascii="方正仿宋_GBK" w:hAnsi="方正仿宋_GBK" w:eastAsia="方正仿宋_GBK" w:cs="方正仿宋_GBK"/>
                <w:color w:val="000000"/>
                <w:sz w:val="20"/>
                <w:szCs w:val="20"/>
              </w:rPr>
              <w:t>生产经营致病性微生物，农药残留、兽药残留、生物毒素、重金属等污染物质以及其他危害人体健康的物质含量超过食品安全标准限量的食品、食品添加剂；生产经营用超过保质期的食品原料、食品添加剂生产的食品、食品添加剂；生产经营未按规定注册的保健食品、特殊医学用途配方食品、婴幼儿配方乳粉，或者未按注册的产品配方、生产工艺等技术要求组织生产；生产经营的食品标签、说明书含有虚假内容，涉及疾病预防、治疗功能，或者生产经营保健食品之外的食品的标签、说明书声称具有保健功能；</w:t>
            </w:r>
          </w:p>
        </w:tc>
        <w:tc>
          <w:tcPr>
            <w:tcW w:w="6559" w:type="dxa"/>
            <w:tcBorders>
              <w:top w:val="single" w:color="000000" w:sz="6" w:space="0"/>
              <w:left w:val="single" w:color="000000" w:sz="6" w:space="0"/>
              <w:bottom w:val="single" w:color="000000" w:sz="6" w:space="0"/>
              <w:right w:val="single" w:color="000000" w:sz="6" w:space="0"/>
            </w:tcBorders>
            <w:noWrap w:val="0"/>
            <w:tcMar>
              <w:top w:w="14" w:type="dxa"/>
              <w:left w:w="14" w:type="dxa"/>
              <w:right w:w="14" w:type="dxa"/>
            </w:tcMar>
            <w:vAlign w:val="center"/>
          </w:tcPr>
          <w:p>
            <w:pPr>
              <w:pStyle w:val="4"/>
              <w:widowControl/>
              <w:snapToGrid w:val="0"/>
              <w:spacing w:before="0" w:beforeAutospacing="0" w:after="0" w:afterAutospacing="0"/>
              <w:rPr>
                <w:sz w:val="31"/>
                <w:szCs w:val="31"/>
              </w:rPr>
            </w:pPr>
            <w:r>
              <w:rPr>
                <w:rFonts w:hint="eastAsia" w:ascii="方正仿宋_GBK" w:hAnsi="方正仿宋_GBK" w:eastAsia="方正仿宋_GBK" w:cs="方正仿宋_GBK"/>
                <w:b/>
                <w:bCs/>
                <w:color w:val="000000"/>
                <w:sz w:val="20"/>
                <w:szCs w:val="20"/>
              </w:rPr>
              <w:t>《食品安全法》第一百二十四条</w:t>
            </w:r>
            <w:r>
              <w:rPr>
                <w:rFonts w:hint="eastAsia" w:ascii="方正仿宋_GBK" w:hAnsi="方正仿宋_GBK" w:eastAsia="方正仿宋_GBK" w:cs="方正仿宋_GBK"/>
                <w:color w:val="000000"/>
                <w:sz w:val="20"/>
                <w:szCs w:val="20"/>
              </w:rPr>
              <w:t>：违反本法规定，有下列情形之一，尚不构成犯罪的，由县级以上人民政府食品安全监督管理部门没收违法所得和违法生产经营的食品、食品添加剂，并可以没收用于违法生产经营的工具、设备、原料等物品；违法生产经营的食品货值金额不足一万元的，并处五万元以上十万元以下罚款；货值金额一万元以上的，并处货值金额十倍以上二十倍以下罚款；情节严重的，吊销许可证：</w:t>
            </w:r>
            <w:r>
              <w:rPr>
                <w:rFonts w:hint="eastAsia" w:ascii="方正仿宋_GBK" w:hAnsi="方正仿宋_GBK" w:eastAsia="方正仿宋_GBK" w:cs="方正仿宋_GBK"/>
                <w:color w:val="333333"/>
                <w:sz w:val="20"/>
                <w:szCs w:val="20"/>
              </w:rPr>
              <w:t>（一）生产经营致病性微生物，农药残留、兽药残留、生物毒素、重金属等污染物质以及其他危害人体健康的物质含量超过食品标准限量的食品、食品添加剂。</w:t>
            </w:r>
          </w:p>
          <w:p>
            <w:pPr>
              <w:pStyle w:val="4"/>
              <w:widowControl/>
              <w:snapToGrid w:val="0"/>
              <w:spacing w:before="0" w:beforeAutospacing="0" w:after="0" w:afterAutospacing="0"/>
              <w:rPr>
                <w:sz w:val="31"/>
                <w:szCs w:val="31"/>
              </w:rPr>
            </w:pPr>
            <w:r>
              <w:rPr>
                <w:rFonts w:hint="eastAsia" w:ascii="方正仿宋_GBK" w:hAnsi="方正仿宋_GBK" w:eastAsia="方正仿宋_GBK" w:cs="方正仿宋_GBK"/>
                <w:b/>
                <w:bCs/>
                <w:color w:val="000000"/>
                <w:sz w:val="20"/>
                <w:szCs w:val="20"/>
              </w:rPr>
              <w:t xml:space="preserve">第一百二十四条（二） </w:t>
            </w:r>
            <w:r>
              <w:rPr>
                <w:rFonts w:hint="eastAsia" w:ascii="方正仿宋_GBK" w:hAnsi="方正仿宋_GBK" w:eastAsia="方正仿宋_GBK" w:cs="方正仿宋_GBK"/>
                <w:color w:val="000000"/>
                <w:sz w:val="20"/>
                <w:szCs w:val="20"/>
              </w:rPr>
              <w:t>：用超过保质期的食品原料、食品添加剂生产食品、食品添加剂，或者经营上述食品、食品添加剂；（六）生产经营未按规定注册的保健食品、特殊医学用途配方食品、婴幼儿配方乳粉，或者未按注册的产品配方、生产工艺等技术要求组织生产；</w:t>
            </w:r>
          </w:p>
          <w:p>
            <w:pPr>
              <w:pStyle w:val="4"/>
              <w:widowControl/>
              <w:snapToGrid w:val="0"/>
              <w:spacing w:before="0" w:beforeAutospacing="0" w:after="0" w:afterAutospacing="0"/>
              <w:rPr>
                <w:sz w:val="31"/>
                <w:szCs w:val="31"/>
              </w:rPr>
            </w:pPr>
            <w:r>
              <w:rPr>
                <w:rFonts w:hint="eastAsia" w:ascii="方正仿宋_GBK" w:hAnsi="方正仿宋_GBK" w:eastAsia="方正仿宋_GBK" w:cs="方正仿宋_GBK"/>
                <w:b/>
                <w:bCs/>
                <w:color w:val="000000"/>
                <w:sz w:val="20"/>
                <w:szCs w:val="20"/>
              </w:rPr>
              <w:t>第一百二十五条</w:t>
            </w:r>
            <w:r>
              <w:rPr>
                <w:rFonts w:hint="eastAsia" w:ascii="方正仿宋_GBK" w:hAnsi="方正仿宋_GBK" w:eastAsia="方正仿宋_GBK" w:cs="方正仿宋_GBK"/>
                <w:color w:val="000000"/>
                <w:sz w:val="20"/>
                <w:szCs w:val="20"/>
              </w:rPr>
              <w:t>：违反本法规定，有下列情形之一，由县级以上人民政府食品安全监督管理部门没收违法所得和违法生产经营的食品、食品添加剂，并可以没收用于违法生产经营的工具、设备、原料等物品；违法生产经营的食品货值金额不足一万元的，并处五千元以上五万元以下罚款；货值金额一万元以上的，并处货值金额五倍以上十倍以下罚款；情节严重的，责令停产停业，直至吊销许可证：（二）生产经营无标签的预包装食品、食品添加剂或者标签、说明书不符合规定的食品、食品添加剂；</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380" w:type="dxa"/>
            <w:vMerge w:val="continue"/>
            <w:tcBorders>
              <w:top w:val="single" w:color="000000" w:sz="6" w:space="0"/>
              <w:left w:val="single" w:color="000000" w:sz="6" w:space="0"/>
              <w:bottom w:val="single" w:color="000000" w:sz="6" w:space="0"/>
              <w:right w:val="single" w:color="000000" w:sz="6" w:space="0"/>
            </w:tcBorders>
            <w:noWrap w:val="0"/>
            <w:tcMar>
              <w:top w:w="14" w:type="dxa"/>
              <w:left w:w="14" w:type="dxa"/>
              <w:right w:w="14" w:type="dxa"/>
            </w:tcMar>
            <w:vAlign w:val="center"/>
          </w:tcPr>
          <w:p>
            <w:pPr>
              <w:snapToGrid w:val="0"/>
              <w:rPr>
                <w:rFonts w:hint="eastAsia" w:ascii="宋体"/>
                <w:color w:val="333333"/>
                <w:sz w:val="24"/>
              </w:rPr>
            </w:pPr>
          </w:p>
        </w:tc>
        <w:tc>
          <w:tcPr>
            <w:tcW w:w="553" w:type="dxa"/>
            <w:vMerge w:val="continue"/>
            <w:tcBorders>
              <w:top w:val="single" w:color="000000" w:sz="6" w:space="0"/>
              <w:left w:val="single" w:color="000000" w:sz="6" w:space="0"/>
              <w:bottom w:val="single" w:color="000000" w:sz="6" w:space="0"/>
              <w:right w:val="single" w:color="000000" w:sz="6" w:space="0"/>
            </w:tcBorders>
            <w:noWrap w:val="0"/>
            <w:tcMar>
              <w:top w:w="14" w:type="dxa"/>
              <w:left w:w="14" w:type="dxa"/>
              <w:right w:w="14" w:type="dxa"/>
            </w:tcMar>
            <w:vAlign w:val="center"/>
          </w:tcPr>
          <w:p>
            <w:pPr>
              <w:snapToGrid w:val="0"/>
              <w:rPr>
                <w:rFonts w:hint="eastAsia" w:ascii="宋体"/>
                <w:color w:val="333333"/>
                <w:sz w:val="24"/>
              </w:rPr>
            </w:pPr>
          </w:p>
        </w:tc>
        <w:tc>
          <w:tcPr>
            <w:tcW w:w="2708" w:type="dxa"/>
            <w:vMerge w:val="continue"/>
            <w:tcBorders>
              <w:top w:val="single" w:color="000000" w:sz="6" w:space="0"/>
              <w:left w:val="single" w:color="000000" w:sz="6" w:space="0"/>
              <w:bottom w:val="single" w:color="000000" w:sz="6" w:space="0"/>
              <w:right w:val="single" w:color="000000" w:sz="6" w:space="0"/>
            </w:tcBorders>
            <w:noWrap w:val="0"/>
            <w:tcMar>
              <w:top w:w="14" w:type="dxa"/>
              <w:left w:w="14" w:type="dxa"/>
              <w:right w:w="14" w:type="dxa"/>
            </w:tcMar>
            <w:vAlign w:val="center"/>
          </w:tcPr>
          <w:p>
            <w:pPr>
              <w:snapToGrid w:val="0"/>
              <w:rPr>
                <w:rFonts w:hint="eastAsia" w:ascii="宋体"/>
                <w:color w:val="333333"/>
                <w:sz w:val="24"/>
              </w:rPr>
            </w:pPr>
          </w:p>
        </w:tc>
        <w:tc>
          <w:tcPr>
            <w:tcW w:w="6559" w:type="dxa"/>
            <w:tcBorders>
              <w:top w:val="single" w:color="000000" w:sz="6" w:space="0"/>
              <w:left w:val="single" w:color="000000" w:sz="6" w:space="0"/>
              <w:bottom w:val="single" w:color="000000" w:sz="6" w:space="0"/>
              <w:right w:val="single" w:color="000000" w:sz="6" w:space="0"/>
            </w:tcBorders>
            <w:noWrap w:val="0"/>
            <w:tcMar>
              <w:top w:w="14" w:type="dxa"/>
              <w:left w:w="14" w:type="dxa"/>
              <w:right w:w="14" w:type="dxa"/>
            </w:tcMar>
            <w:vAlign w:val="center"/>
          </w:tcPr>
          <w:p>
            <w:pPr>
              <w:pStyle w:val="4"/>
              <w:widowControl/>
              <w:snapToGrid w:val="0"/>
              <w:spacing w:before="0" w:beforeAutospacing="0" w:after="0" w:afterAutospacing="0"/>
              <w:rPr>
                <w:sz w:val="31"/>
                <w:szCs w:val="31"/>
              </w:rPr>
            </w:pPr>
            <w:r>
              <w:rPr>
                <w:rFonts w:hint="eastAsia" w:ascii="方正仿宋_GBK" w:hAnsi="方正仿宋_GBK" w:eastAsia="方正仿宋_GBK" w:cs="方正仿宋_GBK"/>
                <w:b/>
                <w:bCs/>
                <w:color w:val="000000"/>
                <w:sz w:val="20"/>
                <w:szCs w:val="20"/>
              </w:rPr>
              <w:t>《食品安全法实施条例》第六十八条：</w:t>
            </w:r>
            <w:r>
              <w:rPr>
                <w:rFonts w:hint="eastAsia" w:ascii="方正仿宋_GBK" w:hAnsi="方正仿宋_GBK" w:eastAsia="方正仿宋_GBK" w:cs="方正仿宋_GBK"/>
                <w:color w:val="000000"/>
                <w:sz w:val="20"/>
                <w:szCs w:val="20"/>
              </w:rPr>
              <w:t>有下列行为之一的，依照食品安全法第一百二十五条第一款、本条例第七十五条的规定给予处罚：（二）生产经营的保健食品之外的食品的标签、说明书声称具有保健功能。</w:t>
            </w:r>
          </w:p>
          <w:p>
            <w:pPr>
              <w:pStyle w:val="4"/>
              <w:widowControl/>
              <w:snapToGrid w:val="0"/>
              <w:spacing w:before="0" w:beforeAutospacing="0" w:after="0" w:afterAutospacing="0"/>
              <w:rPr>
                <w:sz w:val="31"/>
                <w:szCs w:val="31"/>
              </w:rPr>
            </w:pPr>
            <w:r>
              <w:rPr>
                <w:rFonts w:hint="eastAsia" w:ascii="方正仿宋_GBK" w:hAnsi="方正仿宋_GBK" w:eastAsia="方正仿宋_GBK" w:cs="方正仿宋_GBK"/>
                <w:b/>
                <w:bCs/>
                <w:color w:val="000000"/>
                <w:sz w:val="20"/>
                <w:szCs w:val="20"/>
              </w:rPr>
              <w:t>第七十五条：</w:t>
            </w:r>
            <w:r>
              <w:rPr>
                <w:rFonts w:hint="eastAsia" w:ascii="方正仿宋_GBK" w:hAnsi="方正仿宋_GBK" w:eastAsia="方正仿宋_GBK" w:cs="方正仿宋_GBK"/>
                <w:color w:val="000000"/>
                <w:sz w:val="20"/>
                <w:szCs w:val="20"/>
              </w:rPr>
              <w:t>食品生产经营企业等单位有食品安全法规定的违法情形，除依照食品安全法的规定给予处罚外，有下列情形之一的，对单位的法定代表人、主要负责人、直接负责的主管人员和其他直接责任人员处以其上一年度从单位取得收入的</w:t>
            </w:r>
            <w:r>
              <w:rPr>
                <w:rFonts w:hint="eastAsia" w:ascii="方正仿宋_GBK" w:hAnsi="方正仿宋_GBK" w:eastAsia="方正仿宋_GBK" w:cs="方正仿宋_GBK"/>
                <w:color w:val="333333"/>
                <w:sz w:val="20"/>
                <w:szCs w:val="20"/>
              </w:rPr>
              <w:t>1倍以上10倍以下罚款。</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380" w:type="dxa"/>
            <w:vMerge w:val="continue"/>
            <w:tcBorders>
              <w:top w:val="single" w:color="000000" w:sz="6" w:space="0"/>
              <w:left w:val="single" w:color="000000" w:sz="6" w:space="0"/>
              <w:bottom w:val="single" w:color="000000" w:sz="6" w:space="0"/>
              <w:right w:val="single" w:color="000000" w:sz="6" w:space="0"/>
            </w:tcBorders>
            <w:noWrap w:val="0"/>
            <w:tcMar>
              <w:top w:w="14" w:type="dxa"/>
              <w:left w:w="14" w:type="dxa"/>
              <w:right w:w="14" w:type="dxa"/>
            </w:tcMar>
            <w:vAlign w:val="center"/>
          </w:tcPr>
          <w:p>
            <w:pPr>
              <w:snapToGrid w:val="0"/>
              <w:rPr>
                <w:rFonts w:hint="eastAsia" w:ascii="宋体"/>
                <w:color w:val="333333"/>
                <w:sz w:val="24"/>
              </w:rPr>
            </w:pPr>
          </w:p>
        </w:tc>
        <w:tc>
          <w:tcPr>
            <w:tcW w:w="553" w:type="dxa"/>
            <w:vMerge w:val="continue"/>
            <w:tcBorders>
              <w:top w:val="single" w:color="000000" w:sz="6" w:space="0"/>
              <w:left w:val="single" w:color="000000" w:sz="6" w:space="0"/>
              <w:bottom w:val="single" w:color="000000" w:sz="6" w:space="0"/>
              <w:right w:val="single" w:color="000000" w:sz="6" w:space="0"/>
            </w:tcBorders>
            <w:noWrap w:val="0"/>
            <w:tcMar>
              <w:top w:w="14" w:type="dxa"/>
              <w:left w:w="14" w:type="dxa"/>
              <w:right w:w="14" w:type="dxa"/>
            </w:tcMar>
            <w:vAlign w:val="center"/>
          </w:tcPr>
          <w:p>
            <w:pPr>
              <w:snapToGrid w:val="0"/>
              <w:rPr>
                <w:rFonts w:hint="eastAsia" w:ascii="宋体"/>
                <w:color w:val="333333"/>
                <w:sz w:val="24"/>
              </w:rPr>
            </w:pPr>
          </w:p>
        </w:tc>
        <w:tc>
          <w:tcPr>
            <w:tcW w:w="2708" w:type="dxa"/>
            <w:tcBorders>
              <w:top w:val="single" w:color="000000" w:sz="6" w:space="0"/>
              <w:left w:val="single" w:color="000000" w:sz="6" w:space="0"/>
              <w:bottom w:val="single" w:color="000000" w:sz="6" w:space="0"/>
              <w:right w:val="single" w:color="000000" w:sz="6" w:space="0"/>
            </w:tcBorders>
            <w:noWrap w:val="0"/>
            <w:tcMar>
              <w:top w:w="14" w:type="dxa"/>
              <w:left w:w="14" w:type="dxa"/>
              <w:right w:w="14" w:type="dxa"/>
            </w:tcMar>
            <w:vAlign w:val="center"/>
          </w:tcPr>
          <w:p>
            <w:pPr>
              <w:pStyle w:val="4"/>
              <w:widowControl/>
              <w:snapToGrid w:val="0"/>
              <w:spacing w:before="0" w:beforeAutospacing="0" w:after="0" w:afterAutospacing="0"/>
              <w:rPr>
                <w:sz w:val="31"/>
                <w:szCs w:val="31"/>
              </w:rPr>
            </w:pPr>
            <w:r>
              <w:rPr>
                <w:rFonts w:hint="eastAsia" w:ascii="方正仿宋_GBK" w:hAnsi="方正仿宋_GBK" w:eastAsia="方正仿宋_GBK" w:cs="方正仿宋_GBK"/>
                <w:color w:val="000000"/>
                <w:sz w:val="20"/>
                <w:szCs w:val="20"/>
              </w:rPr>
              <w:t>其他违反食品安全法律、行政法规规定，严重危害人民群众身体健康和生命安全的违法行为。</w:t>
            </w:r>
          </w:p>
        </w:tc>
        <w:tc>
          <w:tcPr>
            <w:tcW w:w="6559" w:type="dxa"/>
            <w:tcBorders>
              <w:top w:val="single" w:color="000000" w:sz="6" w:space="0"/>
              <w:left w:val="single" w:color="000000" w:sz="6" w:space="0"/>
              <w:bottom w:val="single" w:color="000000" w:sz="6" w:space="0"/>
              <w:right w:val="single" w:color="000000" w:sz="6" w:space="0"/>
            </w:tcBorders>
            <w:noWrap w:val="0"/>
            <w:tcMar>
              <w:top w:w="14" w:type="dxa"/>
              <w:left w:w="14" w:type="dxa"/>
              <w:right w:w="14" w:type="dxa"/>
            </w:tcMar>
            <w:vAlign w:val="center"/>
          </w:tcPr>
          <w:p>
            <w:pPr>
              <w:pStyle w:val="4"/>
              <w:widowControl/>
              <w:snapToGrid w:val="0"/>
              <w:spacing w:before="0" w:beforeAutospacing="0" w:after="0" w:afterAutospacing="0"/>
              <w:rPr>
                <w:sz w:val="31"/>
                <w:szCs w:val="31"/>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3542" w:hRule="atLeast"/>
          <w:jc w:val="center"/>
        </w:trPr>
        <w:tc>
          <w:tcPr>
            <w:tcW w:w="380" w:type="dxa"/>
            <w:vMerge w:val="restart"/>
            <w:tcBorders>
              <w:top w:val="single" w:color="000000" w:sz="6" w:space="0"/>
              <w:left w:val="single" w:color="000000" w:sz="6" w:space="0"/>
              <w:bottom w:val="single" w:color="000000" w:sz="6" w:space="0"/>
              <w:right w:val="single" w:color="000000" w:sz="6" w:space="0"/>
            </w:tcBorders>
            <w:noWrap w:val="0"/>
            <w:tcMar>
              <w:top w:w="14" w:type="dxa"/>
              <w:left w:w="14" w:type="dxa"/>
              <w:right w:w="14" w:type="dxa"/>
            </w:tcMar>
            <w:vAlign w:val="center"/>
          </w:tcPr>
          <w:p>
            <w:pPr>
              <w:pStyle w:val="4"/>
              <w:widowControl/>
              <w:snapToGrid w:val="0"/>
              <w:spacing w:before="0" w:beforeAutospacing="0" w:after="0" w:afterAutospacing="0"/>
              <w:jc w:val="center"/>
              <w:rPr>
                <w:sz w:val="31"/>
                <w:szCs w:val="31"/>
              </w:rPr>
            </w:pPr>
            <w:r>
              <w:rPr>
                <w:rFonts w:hint="eastAsia" w:ascii="方正仿宋_GBK" w:hAnsi="方正仿宋_GBK" w:eastAsia="方正仿宋_GBK" w:cs="方正仿宋_GBK"/>
                <w:color w:val="000000"/>
                <w:sz w:val="20"/>
                <w:szCs w:val="20"/>
              </w:rPr>
              <w:t>第六条</w:t>
            </w:r>
          </w:p>
        </w:tc>
        <w:tc>
          <w:tcPr>
            <w:tcW w:w="553" w:type="dxa"/>
            <w:vMerge w:val="restart"/>
            <w:tcBorders>
              <w:top w:val="single" w:color="000000" w:sz="6" w:space="0"/>
              <w:left w:val="single" w:color="000000" w:sz="6" w:space="0"/>
              <w:bottom w:val="single" w:color="000000" w:sz="6" w:space="0"/>
              <w:right w:val="single" w:color="000000" w:sz="6" w:space="0"/>
            </w:tcBorders>
            <w:noWrap w:val="0"/>
            <w:tcMar>
              <w:top w:w="14" w:type="dxa"/>
              <w:left w:w="14" w:type="dxa"/>
              <w:right w:w="14" w:type="dxa"/>
            </w:tcMar>
            <w:vAlign w:val="center"/>
          </w:tcPr>
          <w:p>
            <w:pPr>
              <w:pStyle w:val="4"/>
              <w:widowControl/>
              <w:snapToGrid w:val="0"/>
              <w:spacing w:before="0" w:beforeAutospacing="0" w:after="0" w:afterAutospacing="0"/>
              <w:rPr>
                <w:sz w:val="31"/>
                <w:szCs w:val="31"/>
              </w:rPr>
            </w:pPr>
            <w:r>
              <w:rPr>
                <w:rFonts w:hint="eastAsia" w:ascii="方正仿宋_GBK" w:hAnsi="方正仿宋_GBK" w:eastAsia="方正仿宋_GBK" w:cs="方正仿宋_GBK"/>
                <w:color w:val="000000"/>
                <w:sz w:val="20"/>
                <w:szCs w:val="20"/>
              </w:rPr>
              <w:t>药品、医疗器械、化妆品领域违法行为</w:t>
            </w:r>
          </w:p>
        </w:tc>
        <w:tc>
          <w:tcPr>
            <w:tcW w:w="2708" w:type="dxa"/>
            <w:tcBorders>
              <w:top w:val="single" w:color="000000" w:sz="6" w:space="0"/>
              <w:left w:val="single" w:color="000000" w:sz="6" w:space="0"/>
              <w:bottom w:val="single" w:color="000000" w:sz="6" w:space="0"/>
              <w:right w:val="single" w:color="000000" w:sz="6" w:space="0"/>
            </w:tcBorders>
            <w:noWrap w:val="0"/>
            <w:tcMar>
              <w:top w:w="14" w:type="dxa"/>
              <w:left w:w="14" w:type="dxa"/>
              <w:right w:w="14" w:type="dxa"/>
            </w:tcMar>
            <w:vAlign w:val="center"/>
          </w:tcPr>
          <w:p>
            <w:pPr>
              <w:pStyle w:val="4"/>
              <w:widowControl/>
              <w:snapToGrid w:val="0"/>
              <w:spacing w:before="0" w:beforeAutospacing="0" w:after="0" w:afterAutospacing="0"/>
              <w:rPr>
                <w:sz w:val="31"/>
                <w:szCs w:val="31"/>
              </w:rPr>
            </w:pPr>
            <w:r>
              <w:rPr>
                <w:rFonts w:hint="eastAsia" w:ascii="方正仿宋_GBK" w:hAnsi="方正仿宋_GBK" w:eastAsia="方正仿宋_GBK" w:cs="方正仿宋_GBK"/>
                <w:color w:val="000000"/>
                <w:sz w:val="20"/>
                <w:szCs w:val="20"/>
              </w:rPr>
              <w:t>生产销售假药、劣药；违法生产、销售国家有特殊管理要求的药品（含疫苗）；生产、进口、销售未取得药品批准证明文件的药品（含疫苗）；</w:t>
            </w:r>
          </w:p>
        </w:tc>
        <w:tc>
          <w:tcPr>
            <w:tcW w:w="6559" w:type="dxa"/>
            <w:tcBorders>
              <w:top w:val="single" w:color="000000" w:sz="6" w:space="0"/>
              <w:left w:val="single" w:color="000000" w:sz="6" w:space="0"/>
              <w:bottom w:val="single" w:color="000000" w:sz="6" w:space="0"/>
              <w:right w:val="single" w:color="000000" w:sz="6" w:space="0"/>
            </w:tcBorders>
            <w:noWrap w:val="0"/>
            <w:tcMar>
              <w:top w:w="14" w:type="dxa"/>
              <w:left w:w="14" w:type="dxa"/>
              <w:right w:w="14" w:type="dxa"/>
            </w:tcMar>
            <w:vAlign w:val="center"/>
          </w:tcPr>
          <w:p>
            <w:pPr>
              <w:pStyle w:val="4"/>
              <w:widowControl/>
              <w:snapToGrid w:val="0"/>
              <w:spacing w:before="0" w:beforeAutospacing="0" w:after="0" w:afterAutospacing="0"/>
              <w:rPr>
                <w:rFonts w:hint="eastAsia" w:ascii="方正仿宋_GBK" w:hAnsi="方正仿宋_GBK" w:eastAsia="方正仿宋_GBK" w:cs="方正仿宋_GBK"/>
                <w:color w:val="000000"/>
                <w:sz w:val="20"/>
                <w:szCs w:val="20"/>
                <w:lang w:val="en-US" w:eastAsia="zh-CN"/>
              </w:rPr>
            </w:pPr>
            <w:r>
              <w:rPr>
                <w:rFonts w:hint="eastAsia" w:ascii="方正仿宋_GBK" w:hAnsi="方正仿宋_GBK" w:eastAsia="方正仿宋_GBK" w:cs="方正仿宋_GBK"/>
                <w:b/>
                <w:bCs/>
                <w:color w:val="000000"/>
                <w:sz w:val="20"/>
                <w:szCs w:val="20"/>
                <w:lang w:val="en-US" w:eastAsia="zh-CN"/>
              </w:rPr>
              <w:t xml:space="preserve">《药品管理法》第一百一十五条 </w:t>
            </w:r>
            <w:r>
              <w:rPr>
                <w:rFonts w:hint="eastAsia" w:ascii="方正仿宋_GBK" w:hAnsi="方正仿宋_GBK" w:eastAsia="方正仿宋_GBK" w:cs="方正仿宋_GBK"/>
                <w:color w:val="000000"/>
                <w:sz w:val="20"/>
                <w:szCs w:val="20"/>
                <w:lang w:val="en-US" w:eastAsia="zh-CN"/>
              </w:rPr>
              <w:t>未取得药品生产许可证、药品经营许可证或者医疗机构制剂许可证生产、销售药品的，责令关闭，没收违法生产、销售的药品和违法所得，并处违法生产、销售的药品（包括已售出和未售出的药品，下同）货值金额十五倍以上三十倍以下的罚款；货值金额不足十万元的，按十万元计算。</w:t>
            </w:r>
          </w:p>
          <w:p>
            <w:pPr>
              <w:pStyle w:val="4"/>
              <w:widowControl/>
              <w:snapToGrid w:val="0"/>
              <w:spacing w:before="0" w:beforeAutospacing="0" w:after="0" w:afterAutospacing="0"/>
              <w:rPr>
                <w:rFonts w:hint="eastAsia" w:ascii="方正仿宋_GBK" w:hAnsi="方正仿宋_GBK" w:eastAsia="方正仿宋_GBK" w:cs="方正仿宋_GBK"/>
                <w:color w:val="000000"/>
                <w:sz w:val="20"/>
                <w:szCs w:val="20"/>
              </w:rPr>
            </w:pPr>
            <w:r>
              <w:rPr>
                <w:rFonts w:hint="eastAsia" w:ascii="方正仿宋_GBK" w:hAnsi="方正仿宋_GBK" w:eastAsia="方正仿宋_GBK" w:cs="方正仿宋_GBK"/>
                <w:b/>
                <w:bCs/>
                <w:color w:val="000000"/>
                <w:sz w:val="20"/>
                <w:szCs w:val="20"/>
              </w:rPr>
              <w:t>第一百一十六条：</w:t>
            </w:r>
            <w:r>
              <w:rPr>
                <w:rFonts w:hint="eastAsia" w:ascii="方正仿宋_GBK" w:hAnsi="方正仿宋_GBK" w:eastAsia="方正仿宋_GBK" w:cs="方正仿宋_GBK"/>
                <w:color w:val="000000"/>
                <w:sz w:val="20"/>
                <w:szCs w:val="20"/>
              </w:rPr>
              <w:t>生产、销售假药的，没收违法生产、销售的药品和违法所得，责令停产停业整顿，吊销药品批准证明文件，并处违法生产、销售的药品货值金额十五倍以上三十倍以下的罚款；货值金额不足十万元的，按十万元计算；情节严重的，吊销药品生产许可证、药品经营许可证或者医疗机构制剂许可证，十年内不受理其相应申请；药品上市许可持有人为境外企业的，十年内禁止其药品进口。</w:t>
            </w:r>
          </w:p>
          <w:p>
            <w:pPr>
              <w:pStyle w:val="4"/>
              <w:widowControl/>
              <w:snapToGrid w:val="0"/>
              <w:spacing w:before="0" w:beforeAutospacing="0" w:after="0" w:afterAutospacing="0"/>
              <w:rPr>
                <w:rFonts w:hint="eastAsia" w:ascii="方正仿宋_GBK" w:hAnsi="方正仿宋_GBK" w:eastAsia="方正仿宋_GBK" w:cs="方正仿宋_GBK"/>
                <w:color w:val="000000"/>
                <w:sz w:val="20"/>
                <w:szCs w:val="20"/>
                <w:lang w:eastAsia="zh-CN"/>
              </w:rPr>
            </w:pPr>
            <w:r>
              <w:rPr>
                <w:rFonts w:hint="eastAsia" w:ascii="方正仿宋_GBK" w:hAnsi="方正仿宋_GBK" w:eastAsia="方正仿宋_GBK" w:cs="方正仿宋_GBK"/>
                <w:b/>
                <w:bCs/>
                <w:color w:val="000000"/>
                <w:sz w:val="20"/>
                <w:szCs w:val="20"/>
              </w:rPr>
              <w:t>第一百一十七条：</w:t>
            </w:r>
            <w:r>
              <w:rPr>
                <w:rFonts w:hint="eastAsia" w:ascii="方正仿宋_GBK" w:hAnsi="方正仿宋_GBK" w:eastAsia="方正仿宋_GBK" w:cs="方正仿宋_GBK"/>
                <w:color w:val="000000"/>
                <w:sz w:val="20"/>
                <w:szCs w:val="20"/>
              </w:rPr>
              <w:t>生产、销售劣药的，没收违法生产、销售的药品和违法所得，并处违法生产、销售的药品货值金额十倍以上二十倍以下的罚款；违法生产、批发的药品货值金额不足十万元的，按十万元计算，违法零售的药品货值金额不足一万元的，按一万元计算；情节严重的，责令停产停业整顿直至吊销药品批准证明文件、药品生产许可证、药品经营许可证或者医疗机构制剂许可证。</w:t>
            </w:r>
          </w:p>
          <w:p>
            <w:pPr>
              <w:pStyle w:val="4"/>
              <w:widowControl/>
              <w:snapToGrid w:val="0"/>
              <w:spacing w:before="0" w:beforeAutospacing="0" w:after="0" w:afterAutospacing="0"/>
              <w:rPr>
                <w:sz w:val="31"/>
                <w:szCs w:val="31"/>
              </w:rPr>
            </w:pPr>
            <w:r>
              <w:rPr>
                <w:rFonts w:hint="eastAsia" w:ascii="方正仿宋_GBK" w:hAnsi="方正仿宋_GBK" w:eastAsia="方正仿宋_GBK" w:cs="方正仿宋_GBK"/>
                <w:color w:val="333333"/>
                <w:sz w:val="20"/>
                <w:szCs w:val="20"/>
              </w:rPr>
              <w:t>生产、销售的中药饮片不符合药品标准，尚不影响安全性、有效性的，责令限期改正，给予警告；可以处十万元以上五十万元以下的罚款。</w:t>
            </w:r>
          </w:p>
          <w:p>
            <w:pPr>
              <w:pStyle w:val="4"/>
              <w:widowControl/>
              <w:snapToGrid w:val="0"/>
              <w:spacing w:before="0" w:beforeAutospacing="0" w:after="0" w:afterAutospacing="0"/>
              <w:rPr>
                <w:rFonts w:hint="eastAsia" w:ascii="方正仿宋_GBK" w:hAnsi="方正仿宋_GBK" w:eastAsia="方正仿宋_GBK" w:cs="方正仿宋_GBK"/>
                <w:color w:val="000000"/>
                <w:sz w:val="20"/>
                <w:szCs w:val="20"/>
                <w:lang w:eastAsia="zh-CN"/>
              </w:rPr>
            </w:pPr>
            <w:r>
              <w:rPr>
                <w:rFonts w:hint="eastAsia" w:ascii="方正仿宋_GBK" w:hAnsi="方正仿宋_GBK" w:eastAsia="方正仿宋_GBK" w:cs="方正仿宋_GBK"/>
                <w:b/>
                <w:bCs/>
                <w:color w:val="000000"/>
                <w:sz w:val="20"/>
                <w:szCs w:val="20"/>
              </w:rPr>
              <w:t>第一百一十八条：</w:t>
            </w:r>
            <w:r>
              <w:rPr>
                <w:rFonts w:hint="eastAsia" w:ascii="方正仿宋_GBK" w:hAnsi="方正仿宋_GBK" w:eastAsia="方正仿宋_GBK" w:cs="方正仿宋_GBK"/>
                <w:color w:val="000000"/>
                <w:sz w:val="20"/>
                <w:szCs w:val="20"/>
              </w:rPr>
              <w:t xml:space="preserve"> 生产、销售假药，或者生产、销售劣药且情节严重的，对法定代表人、主要负责人、直接负责的主管人员和其他责任人员，没收违法行为发生期间自本单位所获收入，并处所获收入百分之三十以上三倍以下的罚款，终身禁止从事药品生产经营活动，并可以由公安机关处五日以上十五日以下的拘留。</w:t>
            </w:r>
          </w:p>
          <w:p>
            <w:pPr>
              <w:pStyle w:val="4"/>
              <w:widowControl/>
              <w:snapToGrid w:val="0"/>
              <w:spacing w:before="0" w:beforeAutospacing="0" w:after="0" w:afterAutospacing="0"/>
              <w:rPr>
                <w:rFonts w:hint="eastAsia" w:ascii="方正仿宋_GBK" w:hAnsi="方正仿宋_GBK" w:eastAsia="方正仿宋_GBK" w:cs="方正仿宋_GBK"/>
                <w:color w:val="333333"/>
                <w:sz w:val="20"/>
                <w:szCs w:val="20"/>
                <w:lang w:eastAsia="zh-CN"/>
              </w:rPr>
            </w:pPr>
            <w:r>
              <w:rPr>
                <w:rFonts w:hint="eastAsia" w:ascii="方正仿宋_GBK" w:hAnsi="方正仿宋_GBK" w:eastAsia="方正仿宋_GBK" w:cs="方正仿宋_GBK"/>
                <w:color w:val="333333"/>
                <w:sz w:val="20"/>
                <w:szCs w:val="20"/>
              </w:rPr>
              <w:t>对生产者专门用于生产假药、劣药的原料、辅料、包装材料、生产设备予以没收。</w:t>
            </w:r>
          </w:p>
          <w:p>
            <w:pPr>
              <w:pStyle w:val="4"/>
              <w:widowControl/>
              <w:snapToGrid w:val="0"/>
              <w:spacing w:before="0" w:beforeAutospacing="0" w:after="0" w:afterAutospacing="0"/>
              <w:rPr>
                <w:rFonts w:hint="eastAsia" w:ascii="方正仿宋_GBK" w:hAnsi="方正仿宋_GBK" w:eastAsia="方正仿宋_GBK" w:cs="方正仿宋_GBK"/>
                <w:color w:val="000000"/>
                <w:sz w:val="20"/>
                <w:szCs w:val="20"/>
                <w:lang w:eastAsia="zh-CN"/>
              </w:rPr>
            </w:pPr>
            <w:r>
              <w:rPr>
                <w:rFonts w:hint="eastAsia" w:ascii="方正仿宋_GBK" w:hAnsi="方正仿宋_GBK" w:eastAsia="方正仿宋_GBK" w:cs="方正仿宋_GBK"/>
                <w:b/>
                <w:bCs/>
                <w:color w:val="333333"/>
                <w:sz w:val="20"/>
                <w:szCs w:val="20"/>
              </w:rPr>
              <w:t>第一百一十九条：</w:t>
            </w:r>
            <w:r>
              <w:rPr>
                <w:rFonts w:hint="eastAsia" w:ascii="方正仿宋_GBK" w:hAnsi="方正仿宋_GBK" w:eastAsia="方正仿宋_GBK" w:cs="方正仿宋_GBK"/>
                <w:color w:val="333333"/>
                <w:sz w:val="20"/>
                <w:szCs w:val="20"/>
              </w:rPr>
              <w:t>药品使用单位使用假药、劣药的，按照销售假药、零售劣药的规定处罚；情节严重的，法定代表人、主要负责人、直接负责的主管人员和其他责任</w:t>
            </w:r>
            <w:r>
              <w:rPr>
                <w:rFonts w:hint="eastAsia" w:ascii="方正仿宋_GBK" w:hAnsi="方正仿宋_GBK" w:eastAsia="方正仿宋_GBK" w:cs="方正仿宋_GBK"/>
                <w:color w:val="000000"/>
                <w:sz w:val="20"/>
                <w:szCs w:val="20"/>
              </w:rPr>
              <w:t>人员有医疗卫生人员执业证书的，还应当吊销执业证书。</w:t>
            </w:r>
          </w:p>
          <w:p>
            <w:pPr>
              <w:pStyle w:val="4"/>
              <w:widowControl/>
              <w:snapToGrid w:val="0"/>
              <w:spacing w:before="0" w:beforeAutospacing="0" w:after="0" w:afterAutospacing="0"/>
              <w:rPr>
                <w:rFonts w:hint="eastAsia" w:ascii="方正仿宋_GBK" w:hAnsi="方正仿宋_GBK" w:eastAsia="方正仿宋_GBK" w:cs="方正仿宋_GBK"/>
                <w:color w:val="000000"/>
                <w:sz w:val="20"/>
                <w:szCs w:val="20"/>
                <w:lang w:eastAsia="zh-CN"/>
              </w:rPr>
            </w:pPr>
            <w:r>
              <w:rPr>
                <w:rFonts w:hint="eastAsia" w:ascii="方正仿宋_GBK" w:hAnsi="方正仿宋_GBK" w:eastAsia="方正仿宋_GBK" w:cs="方正仿宋_GBK"/>
                <w:color w:val="333333"/>
                <w:sz w:val="20"/>
                <w:szCs w:val="20"/>
              </w:rPr>
              <w:t>《</w:t>
            </w:r>
            <w:r>
              <w:rPr>
                <w:rFonts w:hint="eastAsia" w:ascii="方正仿宋_GBK" w:hAnsi="方正仿宋_GBK" w:eastAsia="方正仿宋_GBK" w:cs="方正仿宋_GBK"/>
                <w:color w:val="000000"/>
                <w:sz w:val="20"/>
                <w:szCs w:val="20"/>
              </w:rPr>
              <w:t>麻醉药品和精神药品管理条例》第六十六条 ：麻醉药品药用原植物种植企业违反本条例的规定，有下列情形之一的，由药品监督管理部门责令限期改正，给予警告；逾期不改正的，处５万元以上１０万元以下的罚款；情节严重的，取消其种植资格：</w:t>
            </w:r>
          </w:p>
          <w:p>
            <w:pPr>
              <w:pStyle w:val="4"/>
              <w:widowControl/>
              <w:snapToGrid w:val="0"/>
              <w:spacing w:before="0" w:beforeAutospacing="0" w:after="0" w:afterAutospacing="0"/>
              <w:rPr>
                <w:rFonts w:hint="eastAsia" w:ascii="方正仿宋_GBK" w:hAnsi="方正仿宋_GBK" w:eastAsia="方正仿宋_GBK" w:cs="方正仿宋_GBK"/>
                <w:color w:val="000000"/>
                <w:sz w:val="20"/>
                <w:szCs w:val="20"/>
                <w:lang w:eastAsia="zh-CN"/>
              </w:rPr>
            </w:pPr>
            <w:r>
              <w:rPr>
                <w:rFonts w:hint="eastAsia" w:ascii="方正仿宋_GBK" w:hAnsi="方正仿宋_GBK" w:eastAsia="方正仿宋_GBK" w:cs="方正仿宋_GBK"/>
                <w:color w:val="000000"/>
                <w:sz w:val="20"/>
                <w:szCs w:val="20"/>
              </w:rPr>
              <w:t>（一）未依照麻醉药品药用原植物年度种植计划进行种植的；</w:t>
            </w:r>
          </w:p>
          <w:p>
            <w:pPr>
              <w:pStyle w:val="4"/>
              <w:widowControl/>
              <w:snapToGrid w:val="0"/>
              <w:spacing w:before="0" w:beforeAutospacing="0" w:after="0" w:afterAutospacing="0"/>
              <w:rPr>
                <w:rFonts w:hint="eastAsia" w:ascii="方正仿宋_GBK" w:hAnsi="方正仿宋_GBK" w:eastAsia="方正仿宋_GBK" w:cs="方正仿宋_GBK"/>
                <w:color w:val="000000"/>
                <w:sz w:val="20"/>
                <w:szCs w:val="20"/>
                <w:lang w:eastAsia="zh-CN"/>
              </w:rPr>
            </w:pPr>
            <w:r>
              <w:rPr>
                <w:rFonts w:hint="eastAsia" w:ascii="方正仿宋_GBK" w:hAnsi="方正仿宋_GBK" w:eastAsia="方正仿宋_GBK" w:cs="方正仿宋_GBK"/>
                <w:color w:val="000000"/>
                <w:sz w:val="20"/>
                <w:szCs w:val="20"/>
              </w:rPr>
              <w:t>（二）未依照规定报告种植情况的；</w:t>
            </w:r>
          </w:p>
          <w:p>
            <w:pPr>
              <w:pStyle w:val="4"/>
              <w:widowControl/>
              <w:snapToGrid w:val="0"/>
              <w:spacing w:before="0" w:beforeAutospacing="0" w:after="0" w:afterAutospacing="0"/>
              <w:rPr>
                <w:rFonts w:hint="eastAsia"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（三）未依照规定储存麻醉药品的。</w:t>
            </w:r>
          </w:p>
          <w:p>
            <w:pPr>
              <w:pStyle w:val="4"/>
              <w:widowControl/>
              <w:snapToGrid w:val="0"/>
              <w:spacing w:before="0" w:beforeAutospacing="0" w:after="0" w:afterAutospacing="0"/>
              <w:rPr>
                <w:rFonts w:hint="eastAsia" w:ascii="方正仿宋_GBK" w:hAnsi="方正仿宋_GBK" w:eastAsia="方正仿宋_GBK" w:cs="方正仿宋_GBK"/>
                <w:color w:val="000000"/>
                <w:sz w:val="20"/>
                <w:szCs w:val="20"/>
                <w:lang w:val="en-US" w:eastAsia="zh-CN"/>
              </w:rPr>
            </w:pPr>
            <w:r>
              <w:rPr>
                <w:rFonts w:hint="eastAsia" w:ascii="方正仿宋_GBK" w:hAnsi="方正仿宋_GBK" w:eastAsia="方正仿宋_GBK" w:cs="方正仿宋_GBK"/>
                <w:b/>
                <w:bCs/>
                <w:color w:val="000000"/>
                <w:sz w:val="20"/>
                <w:szCs w:val="20"/>
                <w:lang w:val="en-US" w:eastAsia="zh-CN"/>
              </w:rPr>
              <w:t xml:space="preserve">第一百二十条 </w:t>
            </w:r>
            <w:r>
              <w:rPr>
                <w:rFonts w:hint="eastAsia" w:ascii="方正仿宋_GBK" w:hAnsi="方正仿宋_GBK" w:eastAsia="方正仿宋_GBK" w:cs="方正仿宋_GBK"/>
                <w:color w:val="000000"/>
                <w:sz w:val="20"/>
                <w:szCs w:val="20"/>
                <w:lang w:val="en-US" w:eastAsia="zh-CN"/>
              </w:rPr>
              <w:t>知道或者应当知道属于假药、劣药或者本法第一百二十四条第一款第一项至第五项规定的药品，而为其提供储存、运输等便利条件的，没收全部储存、运输收入，并处违法收入一倍以上五倍以下的罚款；情节严重的，并处违法收入五倍以上十五倍以下的罚款；违法收入不足五万元的，按五万元计算。符合《市场监督管理严重违法失信名单管理办法》第十二条 市场监督管理部门判断违法行为是否属于性质恶劣、情节严重、社会危害较大的情形，应当综合考虑主观恶意、违法频次、持续时间、处罚类型、罚没款数额、产品货值金额、对人民群众生命健康的危害、财产损失和社会影响等因素。当事人有证据足以证明没有主观故意的，不列入严重违法失信名单。符合《市场监督管理严重违法失信名单管理办法》第十条 实施下列违法行为，且属于本办法第二条规定情形的，列入严重违法失信名单：</w:t>
            </w:r>
          </w:p>
          <w:p>
            <w:pPr>
              <w:pStyle w:val="4"/>
              <w:widowControl/>
              <w:snapToGrid w:val="0"/>
              <w:spacing w:before="0" w:beforeAutospacing="0" w:after="0" w:afterAutospacing="0"/>
              <w:rPr>
                <w:rFonts w:hint="eastAsia" w:ascii="方正仿宋_GBK" w:hAnsi="方正仿宋_GBK" w:eastAsia="方正仿宋_GBK" w:cs="方正仿宋_GBK"/>
                <w:color w:val="000000"/>
                <w:sz w:val="20"/>
                <w:szCs w:val="20"/>
                <w:lang w:val="en-US" w:eastAsia="zh-CN"/>
              </w:rPr>
            </w:pPr>
            <w:r>
              <w:rPr>
                <w:rFonts w:hint="eastAsia" w:ascii="方正仿宋_GBK" w:hAnsi="方正仿宋_GBK" w:eastAsia="方正仿宋_GBK" w:cs="方正仿宋_GBK"/>
                <w:color w:val="000000"/>
                <w:sz w:val="20"/>
                <w:szCs w:val="20"/>
                <w:lang w:val="en-US" w:eastAsia="zh-CN"/>
              </w:rPr>
              <w:t>（一）未依法取得其他许可从事经营活动；</w:t>
            </w:r>
          </w:p>
          <w:p>
            <w:pPr>
              <w:pStyle w:val="4"/>
              <w:widowControl/>
              <w:snapToGrid w:val="0"/>
              <w:spacing w:before="0" w:beforeAutospacing="0" w:after="0" w:afterAutospacing="0"/>
              <w:rPr>
                <w:rFonts w:hint="eastAsia" w:ascii="方正仿宋_GBK" w:hAnsi="方正仿宋_GBK" w:eastAsia="方正仿宋_GBK" w:cs="方正仿宋_GBK"/>
                <w:color w:val="000000"/>
                <w:sz w:val="20"/>
                <w:szCs w:val="20"/>
                <w:lang w:val="en-US" w:eastAsia="zh-CN"/>
              </w:rPr>
            </w:pPr>
            <w:r>
              <w:rPr>
                <w:rFonts w:hint="eastAsia" w:ascii="方正仿宋_GBK" w:hAnsi="方正仿宋_GBK" w:eastAsia="方正仿宋_GBK" w:cs="方正仿宋_GBK"/>
                <w:color w:val="000000"/>
                <w:sz w:val="20"/>
                <w:szCs w:val="20"/>
                <w:lang w:val="en-US" w:eastAsia="zh-CN"/>
              </w:rPr>
              <w:t>（二）提交虚假材料或者采取其他手段隐瞒重要事实，取得行政许可，取得、变更或者注销市场主体登记，或者涂改、倒卖、出租、出售许可证件、营业执照；</w:t>
            </w:r>
          </w:p>
          <w:p>
            <w:pPr>
              <w:pStyle w:val="4"/>
              <w:widowControl/>
              <w:snapToGrid w:val="0"/>
              <w:spacing w:before="0" w:beforeAutospacing="0" w:after="0" w:afterAutospacing="0"/>
              <w:rPr>
                <w:rFonts w:hint="eastAsia" w:ascii="方正仿宋_GBK" w:hAnsi="方正仿宋_GBK" w:eastAsia="方正仿宋_GBK" w:cs="方正仿宋_GBK"/>
                <w:color w:val="000000"/>
                <w:sz w:val="20"/>
                <w:szCs w:val="20"/>
                <w:lang w:val="en-US" w:eastAsia="zh-CN"/>
              </w:rPr>
            </w:pPr>
            <w:r>
              <w:rPr>
                <w:rFonts w:hint="eastAsia" w:ascii="方正仿宋_GBK" w:hAnsi="方正仿宋_GBK" w:eastAsia="方正仿宋_GBK" w:cs="方正仿宋_GBK"/>
                <w:color w:val="000000"/>
                <w:sz w:val="20"/>
                <w:szCs w:val="20"/>
                <w:lang w:val="en-US" w:eastAsia="zh-CN"/>
              </w:rPr>
              <w:t>（三）拒绝、阻碍、干扰市场监督管理部门依法开展监督检查和事故调查。</w:t>
            </w:r>
          </w:p>
          <w:p>
            <w:pPr>
              <w:pStyle w:val="4"/>
              <w:widowControl/>
              <w:snapToGrid w:val="0"/>
              <w:spacing w:before="0" w:beforeAutospacing="0" w:after="0" w:afterAutospacing="0"/>
              <w:rPr>
                <w:rFonts w:hint="eastAsia" w:ascii="方正仿宋_GBK" w:hAnsi="方正仿宋_GBK" w:eastAsia="方正仿宋_GBK" w:cs="方正仿宋_GBK"/>
                <w:color w:val="000000"/>
                <w:sz w:val="20"/>
                <w:szCs w:val="20"/>
                <w:lang w:eastAsia="zh-CN"/>
              </w:rPr>
            </w:pPr>
            <w:r>
              <w:rPr>
                <w:rFonts w:hint="eastAsia" w:ascii="方正仿宋_GBK" w:hAnsi="方正仿宋_GBK" w:eastAsia="方正仿宋_GBK" w:cs="方正仿宋_GBK"/>
                <w:b/>
                <w:bCs/>
                <w:color w:val="000000"/>
                <w:sz w:val="20"/>
                <w:szCs w:val="20"/>
              </w:rPr>
              <w:t xml:space="preserve">第六十七条 </w:t>
            </w:r>
            <w:r>
              <w:rPr>
                <w:rFonts w:hint="eastAsia" w:ascii="方正仿宋_GBK" w:hAnsi="方正仿宋_GBK" w:eastAsia="方正仿宋_GBK" w:cs="方正仿宋_GBK"/>
                <w:color w:val="000000"/>
                <w:sz w:val="20"/>
                <w:szCs w:val="20"/>
              </w:rPr>
              <w:t>：定点生产企业违反本条例的规定，有下列情形之一的，由药品监督管理部门责令限期改正，给予警告，并没收违法所得和违法销售的药品；逾期不改正的，责令停产，并处５万元以上１０万元以下的罚款；情节严重的，取消其定点生产资格：</w:t>
            </w:r>
          </w:p>
          <w:p>
            <w:pPr>
              <w:pStyle w:val="4"/>
              <w:widowControl/>
              <w:snapToGrid w:val="0"/>
              <w:spacing w:before="0" w:beforeAutospacing="0" w:after="0" w:afterAutospacing="0"/>
              <w:rPr>
                <w:rFonts w:hint="eastAsia" w:ascii="方正仿宋_GBK" w:hAnsi="方正仿宋_GBK" w:eastAsia="方正仿宋_GBK" w:cs="方正仿宋_GBK"/>
                <w:color w:val="000000"/>
                <w:sz w:val="20"/>
                <w:szCs w:val="20"/>
                <w:lang w:eastAsia="zh-CN"/>
              </w:rPr>
            </w:pPr>
            <w:r>
              <w:rPr>
                <w:rFonts w:hint="eastAsia" w:ascii="方正仿宋_GBK" w:hAnsi="方正仿宋_GBK" w:eastAsia="方正仿宋_GBK" w:cs="方正仿宋_GBK"/>
                <w:color w:val="000000"/>
                <w:sz w:val="20"/>
                <w:szCs w:val="20"/>
              </w:rPr>
              <w:t>（一）未按照麻醉药品和精神药品年度生产计划安排生产的；</w:t>
            </w:r>
          </w:p>
          <w:p>
            <w:pPr>
              <w:pStyle w:val="4"/>
              <w:widowControl/>
              <w:snapToGrid w:val="0"/>
              <w:spacing w:before="0" w:beforeAutospacing="0" w:after="0" w:afterAutospacing="0"/>
              <w:rPr>
                <w:rFonts w:hint="eastAsia" w:eastAsia="宋体"/>
                <w:color w:val="000000"/>
                <w:sz w:val="20"/>
                <w:szCs w:val="20"/>
                <w:lang w:eastAsia="zh-CN"/>
              </w:rPr>
            </w:pPr>
            <w:r>
              <w:rPr>
                <w:rFonts w:hint="eastAsia" w:ascii="方正仿宋_GBK" w:hAnsi="方正仿宋_GBK" w:eastAsia="方正仿宋_GBK" w:cs="方正仿宋_GBK"/>
                <w:color w:val="000000"/>
                <w:sz w:val="20"/>
                <w:szCs w:val="20"/>
              </w:rPr>
              <w:t>（二）</w:t>
            </w:r>
            <w:r>
              <w:rPr>
                <w:color w:val="000000"/>
                <w:sz w:val="20"/>
                <w:szCs w:val="20"/>
              </w:rPr>
              <w:t>未依照规定向药品监督管理部门报告生产情况的；</w:t>
            </w:r>
          </w:p>
          <w:p>
            <w:pPr>
              <w:pStyle w:val="4"/>
              <w:widowControl/>
              <w:snapToGrid w:val="0"/>
              <w:spacing w:before="0" w:beforeAutospacing="0" w:after="0" w:afterAutospacing="0"/>
              <w:rPr>
                <w:rFonts w:hint="eastAsia" w:ascii="方正仿宋_GBK" w:hAnsi="方正仿宋_GBK" w:eastAsia="方正仿宋_GBK" w:cs="方正仿宋_GBK"/>
                <w:color w:val="000000"/>
                <w:sz w:val="20"/>
                <w:szCs w:val="20"/>
                <w:lang w:eastAsia="zh-CN"/>
              </w:rPr>
            </w:pPr>
            <w:r>
              <w:rPr>
                <w:rFonts w:hint="eastAsia" w:ascii="方正仿宋_GBK" w:hAnsi="方正仿宋_GBK" w:eastAsia="方正仿宋_GBK" w:cs="方正仿宋_GBK"/>
                <w:color w:val="000000"/>
                <w:sz w:val="20"/>
                <w:szCs w:val="20"/>
              </w:rPr>
              <w:t>（三）未依照规定储存麻醉药品和精神药品，或者未依照规定建立、保存专用账册的；</w:t>
            </w:r>
          </w:p>
          <w:p>
            <w:pPr>
              <w:pStyle w:val="4"/>
              <w:widowControl/>
              <w:snapToGrid w:val="0"/>
              <w:spacing w:before="0" w:beforeAutospacing="0" w:after="0" w:afterAutospacing="0"/>
              <w:rPr>
                <w:rFonts w:hint="eastAsia" w:ascii="方正仿宋_GBK" w:hAnsi="方正仿宋_GBK" w:eastAsia="方正仿宋_GBK" w:cs="方正仿宋_GBK"/>
                <w:color w:val="000000"/>
                <w:sz w:val="20"/>
                <w:szCs w:val="20"/>
                <w:lang w:eastAsia="zh-CN"/>
              </w:rPr>
            </w:pPr>
            <w:r>
              <w:rPr>
                <w:rFonts w:hint="eastAsia" w:ascii="方正仿宋_GBK" w:hAnsi="方正仿宋_GBK" w:eastAsia="方正仿宋_GBK" w:cs="方正仿宋_GBK"/>
                <w:color w:val="000000"/>
                <w:sz w:val="20"/>
                <w:szCs w:val="20"/>
              </w:rPr>
              <w:t>（四）未依照规定销售麻醉药品和精神药品的；</w:t>
            </w:r>
          </w:p>
          <w:p>
            <w:pPr>
              <w:pStyle w:val="4"/>
              <w:widowControl/>
              <w:snapToGrid w:val="0"/>
              <w:spacing w:before="0" w:beforeAutospacing="0" w:after="0" w:afterAutospacing="0"/>
              <w:rPr>
                <w:rFonts w:hint="eastAsia"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（五）未依照规定销毁麻醉药品和精神药品的。</w:t>
            </w:r>
          </w:p>
          <w:p>
            <w:pPr>
              <w:pStyle w:val="4"/>
              <w:widowControl/>
              <w:snapToGrid w:val="0"/>
              <w:spacing w:before="0" w:beforeAutospacing="0" w:after="0" w:afterAutospacing="0"/>
              <w:rPr>
                <w:rFonts w:hint="eastAsia" w:ascii="方正仿宋_GBK" w:hAnsi="方正仿宋_GBK" w:eastAsia="方正仿宋_GBK" w:cs="方正仿宋_GBK"/>
                <w:color w:val="000000"/>
                <w:sz w:val="20"/>
                <w:szCs w:val="20"/>
                <w:lang w:val="en-US" w:eastAsia="zh-CN"/>
              </w:rPr>
            </w:pPr>
            <w:r>
              <w:rPr>
                <w:rFonts w:hint="eastAsia" w:ascii="方正仿宋_GBK" w:hAnsi="方正仿宋_GBK" w:eastAsia="方正仿宋_GBK" w:cs="方正仿宋_GBK"/>
                <w:b/>
                <w:bCs/>
                <w:color w:val="000000"/>
                <w:sz w:val="20"/>
                <w:szCs w:val="20"/>
                <w:lang w:val="en-US" w:eastAsia="zh-CN"/>
              </w:rPr>
              <w:t>第一百二十三条</w:t>
            </w:r>
            <w:r>
              <w:rPr>
                <w:rFonts w:hint="eastAsia" w:ascii="方正仿宋_GBK" w:hAnsi="方正仿宋_GBK" w:eastAsia="方正仿宋_GBK" w:cs="方正仿宋_GBK"/>
                <w:color w:val="000000"/>
                <w:sz w:val="20"/>
                <w:szCs w:val="20"/>
                <w:lang w:val="en-US" w:eastAsia="zh-CN"/>
              </w:rPr>
              <w:t xml:space="preserve"> 提供虚假的证明、数据、资料、样品或者采取其他手段骗取临床试验许可、药品生产许可、药品经营许可、医疗机构制剂许可或者药品注册等许可的，撤销相关许可，十年内不受理其相应申请，并处五十万元以上五百万元以下的罚款；情节严重的，对法定代表人、主要负责人、直接负责的主管人员和其他责任人员，处二万元以上二十万元以下的罚款，十年内禁止从事药品生产经营活动，并可以由公安机关处五日以上十五日以下的拘留。符合《市场监督管理严重违法失信名单管理办法》第十条 实施下列违法行为，且属于本办法第二条规定情形的，列入严重违法失信名单：</w:t>
            </w:r>
          </w:p>
          <w:p>
            <w:pPr>
              <w:pStyle w:val="4"/>
              <w:widowControl/>
              <w:snapToGrid w:val="0"/>
              <w:spacing w:before="0" w:beforeAutospacing="0" w:after="0" w:afterAutospacing="0"/>
              <w:rPr>
                <w:rFonts w:hint="eastAsia" w:ascii="方正仿宋_GBK" w:hAnsi="方正仿宋_GBK" w:eastAsia="方正仿宋_GBK" w:cs="方正仿宋_GBK"/>
                <w:color w:val="000000"/>
                <w:sz w:val="20"/>
                <w:szCs w:val="20"/>
                <w:lang w:val="en-US" w:eastAsia="zh-CN"/>
              </w:rPr>
            </w:pPr>
            <w:r>
              <w:rPr>
                <w:rFonts w:hint="eastAsia" w:ascii="方正仿宋_GBK" w:hAnsi="方正仿宋_GBK" w:eastAsia="方正仿宋_GBK" w:cs="方正仿宋_GBK"/>
                <w:color w:val="000000"/>
                <w:sz w:val="20"/>
                <w:szCs w:val="20"/>
                <w:lang w:val="en-US" w:eastAsia="zh-CN"/>
              </w:rPr>
              <w:t>（一）未依法取得其他许可从事经营活动；</w:t>
            </w:r>
          </w:p>
          <w:p>
            <w:pPr>
              <w:pStyle w:val="4"/>
              <w:widowControl/>
              <w:snapToGrid w:val="0"/>
              <w:spacing w:before="0" w:beforeAutospacing="0" w:after="0" w:afterAutospacing="0"/>
              <w:rPr>
                <w:rFonts w:hint="eastAsia" w:ascii="方正仿宋_GBK" w:hAnsi="方正仿宋_GBK" w:eastAsia="方正仿宋_GBK" w:cs="方正仿宋_GBK"/>
                <w:color w:val="000000"/>
                <w:sz w:val="20"/>
                <w:szCs w:val="20"/>
                <w:lang w:val="en-US" w:eastAsia="zh-CN"/>
              </w:rPr>
            </w:pPr>
            <w:r>
              <w:rPr>
                <w:rFonts w:hint="eastAsia" w:ascii="方正仿宋_GBK" w:hAnsi="方正仿宋_GBK" w:eastAsia="方正仿宋_GBK" w:cs="方正仿宋_GBK"/>
                <w:color w:val="000000"/>
                <w:sz w:val="20"/>
                <w:szCs w:val="20"/>
                <w:lang w:val="en-US" w:eastAsia="zh-CN"/>
              </w:rPr>
              <w:t>（二）提交虚假材料或者采取其他手段隐瞒重要事实，取得行政许可，取得、变更或者注销市场主体登记，或者涂改、倒卖、出租、出售许可证件、营业执照；</w:t>
            </w:r>
          </w:p>
          <w:p>
            <w:pPr>
              <w:pStyle w:val="4"/>
              <w:widowControl/>
              <w:snapToGrid w:val="0"/>
              <w:spacing w:before="0" w:beforeAutospacing="0" w:after="0" w:afterAutospacing="0"/>
              <w:rPr>
                <w:rFonts w:hint="eastAsia" w:ascii="方正仿宋_GBK" w:hAnsi="方正仿宋_GBK" w:eastAsia="方正仿宋_GBK" w:cs="方正仿宋_GBK"/>
                <w:color w:val="000000"/>
                <w:sz w:val="20"/>
                <w:szCs w:val="20"/>
                <w:lang w:val="en-US" w:eastAsia="zh-CN"/>
              </w:rPr>
            </w:pPr>
            <w:r>
              <w:rPr>
                <w:rFonts w:hint="eastAsia" w:ascii="方正仿宋_GBK" w:hAnsi="方正仿宋_GBK" w:eastAsia="方正仿宋_GBK" w:cs="方正仿宋_GBK"/>
                <w:color w:val="000000"/>
                <w:sz w:val="20"/>
                <w:szCs w:val="20"/>
                <w:lang w:val="en-US" w:eastAsia="zh-CN"/>
              </w:rPr>
              <w:t>（三）拒绝、阻碍、干扰市场监督管理部门依法开展监督检查和事故调查。</w:t>
            </w:r>
          </w:p>
          <w:p>
            <w:pPr>
              <w:pStyle w:val="4"/>
              <w:widowControl/>
              <w:snapToGrid w:val="0"/>
              <w:spacing w:before="0" w:beforeAutospacing="0" w:after="0" w:afterAutospacing="0"/>
              <w:rPr>
                <w:rFonts w:hint="eastAsia" w:ascii="方正仿宋_GBK" w:hAnsi="方正仿宋_GBK" w:eastAsia="方正仿宋_GBK" w:cs="方正仿宋_GBK"/>
                <w:color w:val="000000"/>
                <w:sz w:val="20"/>
                <w:szCs w:val="20"/>
                <w:lang w:eastAsia="zh-CN"/>
              </w:rPr>
            </w:pPr>
            <w:r>
              <w:rPr>
                <w:rFonts w:hint="eastAsia" w:ascii="方正仿宋_GBK" w:hAnsi="方正仿宋_GBK" w:eastAsia="方正仿宋_GBK" w:cs="方正仿宋_GBK"/>
                <w:b/>
                <w:bCs/>
                <w:color w:val="000000"/>
                <w:sz w:val="20"/>
                <w:szCs w:val="20"/>
              </w:rPr>
              <w:t>一百二十四条</w:t>
            </w:r>
            <w:r>
              <w:rPr>
                <w:rFonts w:hint="eastAsia" w:ascii="方正仿宋_GBK" w:hAnsi="方正仿宋_GBK" w:eastAsia="方正仿宋_GBK" w:cs="方正仿宋_GBK"/>
                <w:color w:val="000000"/>
                <w:sz w:val="20"/>
                <w:szCs w:val="20"/>
              </w:rPr>
              <w:t>：违反本法规定，有下列行为之一的，没收违法生产、进口、销售的药品和违法所得以及专门用于违法生产的原料、辅料、包装材料和生产设备，责令停产停业整顿，并处违法生产、进口、销售的药品货值金额十五倍以上三十倍以下的罚款；货值金额不足十万元的，按十万元计算；情节严重的，吊销药品批准证明文件直至吊销药品生产许可证、药品经营许可证或者医疗机构制剂许可证，对法定代表人、主要负责人、直接负责的主管人员和其他责任人员，没收违法行为发生期间自本单位所获收入，并处所获收入百分之三十以上三倍以下的罚款，十年直至终身禁止从事药品生产经营活动，并可以由公安机关处五日以上十五日以下的拘留：</w:t>
            </w:r>
          </w:p>
          <w:p>
            <w:pPr>
              <w:pStyle w:val="4"/>
              <w:widowControl/>
              <w:snapToGrid w:val="0"/>
              <w:spacing w:before="0" w:beforeAutospacing="0" w:after="0" w:afterAutospacing="0"/>
              <w:rPr>
                <w:rFonts w:hint="eastAsia" w:ascii="方正仿宋_GBK" w:hAnsi="方正仿宋_GBK" w:eastAsia="方正仿宋_GBK" w:cs="方正仿宋_GBK"/>
                <w:color w:val="000000"/>
                <w:sz w:val="20"/>
                <w:szCs w:val="20"/>
                <w:lang w:eastAsia="zh-CN"/>
              </w:rPr>
            </w:pPr>
            <w:r>
              <w:rPr>
                <w:rFonts w:hint="eastAsia" w:ascii="方正仿宋_GBK" w:hAnsi="方正仿宋_GBK" w:eastAsia="方正仿宋_GBK" w:cs="方正仿宋_GBK"/>
                <w:color w:val="000000"/>
                <w:sz w:val="20"/>
                <w:szCs w:val="20"/>
              </w:rPr>
              <w:t>（一）未取得药品批准证明文件生产、进口药品；</w:t>
            </w:r>
          </w:p>
          <w:p>
            <w:pPr>
              <w:pStyle w:val="4"/>
              <w:widowControl/>
              <w:snapToGrid w:val="0"/>
              <w:spacing w:before="0" w:beforeAutospacing="0" w:after="0" w:afterAutospacing="0"/>
              <w:rPr>
                <w:rFonts w:hint="eastAsia" w:ascii="方正仿宋_GBK" w:hAnsi="方正仿宋_GBK" w:eastAsia="方正仿宋_GBK" w:cs="方正仿宋_GBK"/>
                <w:color w:val="000000"/>
                <w:sz w:val="20"/>
                <w:szCs w:val="20"/>
                <w:lang w:eastAsia="zh-CN"/>
              </w:rPr>
            </w:pPr>
            <w:r>
              <w:rPr>
                <w:rFonts w:hint="eastAsia" w:ascii="方正仿宋_GBK" w:hAnsi="方正仿宋_GBK" w:eastAsia="方正仿宋_GBK" w:cs="方正仿宋_GBK"/>
                <w:color w:val="000000"/>
                <w:sz w:val="20"/>
                <w:szCs w:val="20"/>
              </w:rPr>
              <w:t>（二）使用采取欺骗手段取得的药品批准证明文件生产、进口药品；</w:t>
            </w:r>
          </w:p>
          <w:p>
            <w:pPr>
              <w:pStyle w:val="4"/>
              <w:widowControl/>
              <w:snapToGrid w:val="0"/>
              <w:spacing w:before="0" w:beforeAutospacing="0" w:after="0" w:afterAutospacing="0"/>
              <w:rPr>
                <w:rFonts w:hint="eastAsia" w:ascii="方正仿宋_GBK" w:hAnsi="方正仿宋_GBK" w:eastAsia="方正仿宋_GBK" w:cs="方正仿宋_GBK"/>
                <w:color w:val="000000"/>
                <w:sz w:val="20"/>
                <w:szCs w:val="20"/>
                <w:lang w:eastAsia="zh-CN"/>
              </w:rPr>
            </w:pPr>
            <w:r>
              <w:rPr>
                <w:rFonts w:hint="eastAsia" w:ascii="方正仿宋_GBK" w:hAnsi="方正仿宋_GBK" w:eastAsia="方正仿宋_GBK" w:cs="方正仿宋_GBK"/>
                <w:color w:val="000000"/>
                <w:sz w:val="20"/>
                <w:szCs w:val="20"/>
              </w:rPr>
              <w:t>（三）使用未经审评审批的原料药生产药品；</w:t>
            </w:r>
          </w:p>
          <w:p>
            <w:pPr>
              <w:pStyle w:val="4"/>
              <w:widowControl/>
              <w:snapToGrid w:val="0"/>
              <w:spacing w:before="0" w:beforeAutospacing="0" w:after="0" w:afterAutospacing="0"/>
              <w:rPr>
                <w:rFonts w:hint="eastAsia" w:ascii="方正仿宋_GBK" w:hAnsi="方正仿宋_GBK" w:eastAsia="方正仿宋_GBK" w:cs="方正仿宋_GBK"/>
                <w:color w:val="000000"/>
                <w:sz w:val="20"/>
                <w:szCs w:val="20"/>
                <w:lang w:eastAsia="zh-CN"/>
              </w:rPr>
            </w:pPr>
            <w:r>
              <w:rPr>
                <w:rFonts w:hint="eastAsia" w:ascii="方正仿宋_GBK" w:hAnsi="方正仿宋_GBK" w:eastAsia="方正仿宋_GBK" w:cs="方正仿宋_GBK"/>
                <w:color w:val="000000"/>
                <w:sz w:val="20"/>
                <w:szCs w:val="20"/>
              </w:rPr>
              <w:t>（四）应当检验而未经检验即销售药品；</w:t>
            </w:r>
          </w:p>
          <w:p>
            <w:pPr>
              <w:pStyle w:val="4"/>
              <w:widowControl/>
              <w:snapToGrid w:val="0"/>
              <w:spacing w:before="0" w:beforeAutospacing="0" w:after="0" w:afterAutospacing="0"/>
              <w:rPr>
                <w:rFonts w:hint="eastAsia" w:ascii="方正仿宋_GBK" w:hAnsi="方正仿宋_GBK" w:eastAsia="方正仿宋_GBK" w:cs="方正仿宋_GBK"/>
                <w:color w:val="000000"/>
                <w:sz w:val="20"/>
                <w:szCs w:val="20"/>
                <w:lang w:eastAsia="zh-CN"/>
              </w:rPr>
            </w:pPr>
            <w:r>
              <w:rPr>
                <w:rFonts w:hint="eastAsia" w:ascii="方正仿宋_GBK" w:hAnsi="方正仿宋_GBK" w:eastAsia="方正仿宋_GBK" w:cs="方正仿宋_GBK"/>
                <w:color w:val="000000"/>
                <w:sz w:val="20"/>
                <w:szCs w:val="20"/>
              </w:rPr>
              <w:t>（五）生产、销售国务院药品监督管理部门禁止使用的药品；</w:t>
            </w:r>
          </w:p>
          <w:p>
            <w:pPr>
              <w:pStyle w:val="4"/>
              <w:widowControl/>
              <w:snapToGrid w:val="0"/>
              <w:spacing w:before="0" w:beforeAutospacing="0" w:after="0" w:afterAutospacing="0"/>
              <w:rPr>
                <w:rFonts w:hint="eastAsia" w:ascii="方正仿宋_GBK" w:hAnsi="方正仿宋_GBK" w:eastAsia="方正仿宋_GBK" w:cs="方正仿宋_GBK"/>
                <w:color w:val="000000"/>
                <w:sz w:val="20"/>
                <w:szCs w:val="20"/>
                <w:lang w:eastAsia="zh-CN"/>
              </w:rPr>
            </w:pPr>
            <w:r>
              <w:rPr>
                <w:rFonts w:hint="eastAsia" w:ascii="方正仿宋_GBK" w:hAnsi="方正仿宋_GBK" w:eastAsia="方正仿宋_GBK" w:cs="方正仿宋_GBK"/>
                <w:color w:val="000000"/>
                <w:sz w:val="20"/>
                <w:szCs w:val="20"/>
              </w:rPr>
              <w:t>（六）编造生产、检验记录；</w:t>
            </w:r>
          </w:p>
          <w:p>
            <w:pPr>
              <w:pStyle w:val="4"/>
              <w:widowControl/>
              <w:snapToGrid w:val="0"/>
              <w:spacing w:before="0" w:beforeAutospacing="0" w:after="0" w:afterAutospacing="0"/>
              <w:rPr>
                <w:rFonts w:hint="eastAsia" w:ascii="方正仿宋_GBK" w:hAnsi="方正仿宋_GBK" w:eastAsia="方正仿宋_GBK" w:cs="方正仿宋_GBK"/>
                <w:color w:val="000000"/>
                <w:sz w:val="20"/>
                <w:szCs w:val="20"/>
                <w:lang w:val="en-US" w:eastAsia="zh-CN"/>
              </w:rPr>
            </w:pPr>
            <w:r>
              <w:rPr>
                <w:rFonts w:hint="eastAsia" w:ascii="方正仿宋_GBK" w:hAnsi="方正仿宋_GBK" w:eastAsia="方正仿宋_GBK" w:cs="方正仿宋_GBK"/>
                <w:color w:val="000000"/>
                <w:sz w:val="20"/>
                <w:szCs w:val="20"/>
              </w:rPr>
              <w:t>（七）未经批准在药品生产过程中进行重大变更。</w:t>
            </w:r>
          </w:p>
          <w:p>
            <w:pPr>
              <w:pStyle w:val="4"/>
              <w:widowControl/>
              <w:snapToGrid w:val="0"/>
              <w:spacing w:before="0" w:beforeAutospacing="0" w:after="0" w:afterAutospacing="0"/>
              <w:rPr>
                <w:rFonts w:hint="eastAsia" w:ascii="方正仿宋_GBK" w:hAnsi="方正仿宋_GBK" w:eastAsia="方正仿宋_GBK" w:cs="方正仿宋_GBK"/>
                <w:color w:val="000000"/>
                <w:sz w:val="20"/>
                <w:szCs w:val="20"/>
                <w:lang w:val="en-US" w:eastAsia="zh-CN"/>
              </w:rPr>
            </w:pPr>
            <w:r>
              <w:rPr>
                <w:rFonts w:hint="eastAsia" w:ascii="方正仿宋_GBK" w:hAnsi="方正仿宋_GBK" w:eastAsia="方正仿宋_GBK" w:cs="方正仿宋_GBK"/>
                <w:b/>
                <w:bCs/>
                <w:color w:val="000000"/>
                <w:sz w:val="20"/>
                <w:szCs w:val="20"/>
                <w:lang w:val="en-US" w:eastAsia="zh-CN"/>
              </w:rPr>
              <w:t xml:space="preserve">第一百二十六条 </w:t>
            </w:r>
            <w:r>
              <w:rPr>
                <w:rFonts w:hint="eastAsia" w:ascii="方正仿宋_GBK" w:hAnsi="方正仿宋_GBK" w:eastAsia="方正仿宋_GBK" w:cs="方正仿宋_GBK"/>
                <w:color w:val="000000"/>
                <w:sz w:val="20"/>
                <w:szCs w:val="20"/>
                <w:lang w:val="en-US" w:eastAsia="zh-CN"/>
              </w:rPr>
              <w:t>除本法另有规定的情形外，药品上市许可持有人、药品生产企业、药品经营企业、药物非临床安全性评价研究机构、药物临床试验机构等未遵守药品生产质量管理规范、药品经营质量管理规范、药物非临床研究质量管理规范、药物临床试验质量管理规范等的，责令限期改正，给予警告；逾期不改正的，处十万元以上五十万元以下的罚款；情节严重的，处五十万元以上二百万元以下的罚款，责令停产停业整顿直至吊销药品批准证明文件、药品生产许可证、药品经营许可证等，药物非临床安全性评价研究机构、药物临床试验机构等五年内不得开展药物非临床安全性评价研究、药物临床试验，对法定代表人、主要负责人、直接负责的主管人员和其他责任人员，没收违法行为发生期间自本单位所获收入，并处所获收入百分之十以上百分之五十以下的罚款，十年直至终身禁止从事药品生产经营等活动。符合《市场监督管理严重违法失信名单管理办法》第十条 实施下列违法行为，且属于本办法第二条规定情形的，列入严重违法失信名单：</w:t>
            </w:r>
          </w:p>
          <w:p>
            <w:pPr>
              <w:pStyle w:val="4"/>
              <w:widowControl/>
              <w:snapToGrid w:val="0"/>
              <w:spacing w:before="0" w:beforeAutospacing="0" w:after="0" w:afterAutospacing="0"/>
              <w:rPr>
                <w:rFonts w:hint="eastAsia" w:ascii="方正仿宋_GBK" w:hAnsi="方正仿宋_GBK" w:eastAsia="方正仿宋_GBK" w:cs="方正仿宋_GBK"/>
                <w:color w:val="000000"/>
                <w:sz w:val="20"/>
                <w:szCs w:val="20"/>
                <w:lang w:val="en-US" w:eastAsia="zh-CN"/>
              </w:rPr>
            </w:pPr>
            <w:r>
              <w:rPr>
                <w:rFonts w:hint="eastAsia" w:ascii="方正仿宋_GBK" w:hAnsi="方正仿宋_GBK" w:eastAsia="方正仿宋_GBK" w:cs="方正仿宋_GBK"/>
                <w:color w:val="000000"/>
                <w:sz w:val="20"/>
                <w:szCs w:val="20"/>
                <w:lang w:val="en-US" w:eastAsia="zh-CN"/>
              </w:rPr>
              <w:t>（一）未依法取得其他许可从事经营活动；</w:t>
            </w:r>
          </w:p>
          <w:p>
            <w:pPr>
              <w:pStyle w:val="4"/>
              <w:widowControl/>
              <w:snapToGrid w:val="0"/>
              <w:spacing w:before="0" w:beforeAutospacing="0" w:after="0" w:afterAutospacing="0"/>
              <w:rPr>
                <w:rFonts w:hint="eastAsia" w:ascii="方正仿宋_GBK" w:hAnsi="方正仿宋_GBK" w:eastAsia="方正仿宋_GBK" w:cs="方正仿宋_GBK"/>
                <w:color w:val="000000"/>
                <w:sz w:val="20"/>
                <w:szCs w:val="20"/>
                <w:lang w:val="en-US" w:eastAsia="zh-CN"/>
              </w:rPr>
            </w:pPr>
            <w:r>
              <w:rPr>
                <w:rFonts w:hint="eastAsia" w:ascii="方正仿宋_GBK" w:hAnsi="方正仿宋_GBK" w:eastAsia="方正仿宋_GBK" w:cs="方正仿宋_GBK"/>
                <w:color w:val="000000"/>
                <w:sz w:val="20"/>
                <w:szCs w:val="20"/>
                <w:lang w:val="en-US" w:eastAsia="zh-CN"/>
              </w:rPr>
              <w:t>（二）提交虚假材料或者采取其他手段隐瞒重要事实，取得行政许可，取得、变更或者注销市场主体登记，或者涂改、倒卖、出租、出售许可证件、营业执照；</w:t>
            </w:r>
          </w:p>
          <w:p>
            <w:pPr>
              <w:pStyle w:val="4"/>
              <w:widowControl/>
              <w:snapToGrid w:val="0"/>
              <w:spacing w:before="0" w:beforeAutospacing="0" w:after="0" w:afterAutospacing="0"/>
              <w:rPr>
                <w:rFonts w:hint="eastAsia" w:ascii="方正仿宋_GBK" w:hAnsi="方正仿宋_GBK" w:eastAsia="方正仿宋_GBK" w:cs="方正仿宋_GBK"/>
                <w:color w:val="000000"/>
                <w:sz w:val="20"/>
                <w:szCs w:val="20"/>
                <w:lang w:val="en-US" w:eastAsia="zh-CN"/>
              </w:rPr>
            </w:pPr>
            <w:r>
              <w:rPr>
                <w:rFonts w:hint="eastAsia" w:ascii="方正仿宋_GBK" w:hAnsi="方正仿宋_GBK" w:eastAsia="方正仿宋_GBK" w:cs="方正仿宋_GBK"/>
                <w:color w:val="000000"/>
                <w:sz w:val="20"/>
                <w:szCs w:val="20"/>
                <w:lang w:val="en-US" w:eastAsia="zh-CN"/>
              </w:rPr>
              <w:t>（三）拒绝、阻碍、干扰市场监督管理部门依法开展监督检查和事故调查。</w:t>
            </w:r>
          </w:p>
          <w:p>
            <w:pPr>
              <w:pStyle w:val="4"/>
              <w:widowControl/>
              <w:snapToGrid w:val="0"/>
              <w:spacing w:before="0" w:beforeAutospacing="0" w:after="0" w:afterAutospacing="0"/>
              <w:rPr>
                <w:rFonts w:hint="eastAsia" w:ascii="方正仿宋_GBK" w:hAnsi="方正仿宋_GBK" w:eastAsia="方正仿宋_GBK" w:cs="方正仿宋_GBK"/>
                <w:color w:val="000000"/>
                <w:sz w:val="20"/>
                <w:szCs w:val="20"/>
                <w:lang w:val="en-US" w:eastAsia="zh-CN"/>
              </w:rPr>
            </w:pPr>
            <w:r>
              <w:rPr>
                <w:rFonts w:hint="eastAsia" w:ascii="方正仿宋_GBK" w:hAnsi="方正仿宋_GBK" w:eastAsia="方正仿宋_GBK" w:cs="方正仿宋_GBK"/>
                <w:b/>
                <w:bCs/>
                <w:color w:val="000000"/>
                <w:sz w:val="20"/>
                <w:szCs w:val="20"/>
                <w:lang w:val="en-US" w:eastAsia="zh-CN"/>
              </w:rPr>
              <w:t>第一百三十七条</w:t>
            </w:r>
            <w:r>
              <w:rPr>
                <w:rFonts w:hint="eastAsia" w:ascii="方正仿宋_GBK" w:hAnsi="方正仿宋_GBK" w:eastAsia="方正仿宋_GBK" w:cs="方正仿宋_GBK"/>
                <w:color w:val="000000"/>
                <w:sz w:val="20"/>
                <w:szCs w:val="20"/>
                <w:lang w:val="en-US" w:eastAsia="zh-CN"/>
              </w:rPr>
              <w:t xml:space="preserve"> 有下列行为之一的，在本法规定的处罚幅度内从重处罚：</w:t>
            </w:r>
          </w:p>
          <w:p>
            <w:pPr>
              <w:pStyle w:val="4"/>
              <w:widowControl/>
              <w:snapToGrid w:val="0"/>
              <w:spacing w:before="0" w:beforeAutospacing="0" w:after="0" w:afterAutospacing="0"/>
              <w:rPr>
                <w:rFonts w:hint="eastAsia" w:ascii="方正仿宋_GBK" w:hAnsi="方正仿宋_GBK" w:eastAsia="方正仿宋_GBK" w:cs="方正仿宋_GBK"/>
                <w:color w:val="000000"/>
                <w:sz w:val="20"/>
                <w:szCs w:val="20"/>
                <w:lang w:val="en-US" w:eastAsia="zh-CN"/>
              </w:rPr>
            </w:pPr>
            <w:r>
              <w:rPr>
                <w:rFonts w:hint="eastAsia" w:ascii="方正仿宋_GBK" w:hAnsi="方正仿宋_GBK" w:eastAsia="方正仿宋_GBK" w:cs="方正仿宋_GBK"/>
                <w:color w:val="000000"/>
                <w:sz w:val="20"/>
                <w:szCs w:val="20"/>
                <w:lang w:val="en-US" w:eastAsia="zh-CN"/>
              </w:rPr>
              <w:t>（一）以麻醉药品、精神药品、医疗用毒性药品、放射性药品、药品类易制毒化学品冒充其他药品，或者以其他药品冒充上述药品；</w:t>
            </w:r>
          </w:p>
          <w:p>
            <w:pPr>
              <w:pStyle w:val="4"/>
              <w:widowControl/>
              <w:snapToGrid w:val="0"/>
              <w:spacing w:before="0" w:beforeAutospacing="0" w:after="0" w:afterAutospacing="0"/>
              <w:rPr>
                <w:rFonts w:hint="eastAsia" w:ascii="方正仿宋_GBK" w:hAnsi="方正仿宋_GBK" w:eastAsia="方正仿宋_GBK" w:cs="方正仿宋_GBK"/>
                <w:color w:val="000000"/>
                <w:sz w:val="20"/>
                <w:szCs w:val="20"/>
                <w:lang w:val="en-US" w:eastAsia="zh-CN"/>
              </w:rPr>
            </w:pPr>
            <w:r>
              <w:rPr>
                <w:rFonts w:hint="eastAsia" w:ascii="方正仿宋_GBK" w:hAnsi="方正仿宋_GBK" w:eastAsia="方正仿宋_GBK" w:cs="方正仿宋_GBK"/>
                <w:color w:val="000000"/>
                <w:sz w:val="20"/>
                <w:szCs w:val="20"/>
                <w:lang w:val="en-US" w:eastAsia="zh-CN"/>
              </w:rPr>
              <w:t>（二）生产、销售以孕产妇、儿童为主要使用对象的假药、劣药；</w:t>
            </w:r>
          </w:p>
          <w:p>
            <w:pPr>
              <w:pStyle w:val="4"/>
              <w:widowControl/>
              <w:snapToGrid w:val="0"/>
              <w:spacing w:before="0" w:beforeAutospacing="0" w:after="0" w:afterAutospacing="0"/>
              <w:rPr>
                <w:rFonts w:hint="eastAsia" w:ascii="方正仿宋_GBK" w:hAnsi="方正仿宋_GBK" w:eastAsia="方正仿宋_GBK" w:cs="方正仿宋_GBK"/>
                <w:color w:val="000000"/>
                <w:sz w:val="20"/>
                <w:szCs w:val="20"/>
                <w:lang w:val="en-US" w:eastAsia="zh-CN"/>
              </w:rPr>
            </w:pPr>
            <w:r>
              <w:rPr>
                <w:rFonts w:hint="eastAsia" w:ascii="方正仿宋_GBK" w:hAnsi="方正仿宋_GBK" w:eastAsia="方正仿宋_GBK" w:cs="方正仿宋_GBK"/>
                <w:color w:val="000000"/>
                <w:sz w:val="20"/>
                <w:szCs w:val="20"/>
                <w:lang w:val="en-US" w:eastAsia="zh-CN"/>
              </w:rPr>
              <w:t>（三）生产、销售的生物制品属于假药、劣药；</w:t>
            </w:r>
          </w:p>
          <w:p>
            <w:pPr>
              <w:pStyle w:val="4"/>
              <w:widowControl/>
              <w:snapToGrid w:val="0"/>
              <w:spacing w:before="0" w:beforeAutospacing="0" w:after="0" w:afterAutospacing="0"/>
              <w:rPr>
                <w:rFonts w:hint="eastAsia" w:ascii="方正仿宋_GBK" w:hAnsi="方正仿宋_GBK" w:eastAsia="方正仿宋_GBK" w:cs="方正仿宋_GBK"/>
                <w:color w:val="000000"/>
                <w:sz w:val="20"/>
                <w:szCs w:val="20"/>
                <w:lang w:val="en-US" w:eastAsia="zh-CN"/>
              </w:rPr>
            </w:pPr>
            <w:r>
              <w:rPr>
                <w:rFonts w:hint="eastAsia" w:ascii="方正仿宋_GBK" w:hAnsi="方正仿宋_GBK" w:eastAsia="方正仿宋_GBK" w:cs="方正仿宋_GBK"/>
                <w:color w:val="000000"/>
                <w:sz w:val="20"/>
                <w:szCs w:val="20"/>
                <w:lang w:val="en-US" w:eastAsia="zh-CN"/>
              </w:rPr>
              <w:t>（四）生产、销售假药、劣药，造成人身伤害后果；</w:t>
            </w:r>
          </w:p>
          <w:p>
            <w:pPr>
              <w:pStyle w:val="4"/>
              <w:widowControl/>
              <w:snapToGrid w:val="0"/>
              <w:spacing w:before="0" w:beforeAutospacing="0" w:after="0" w:afterAutospacing="0"/>
              <w:rPr>
                <w:rFonts w:hint="eastAsia" w:ascii="方正仿宋_GBK" w:hAnsi="方正仿宋_GBK" w:eastAsia="方正仿宋_GBK" w:cs="方正仿宋_GBK"/>
                <w:color w:val="000000"/>
                <w:sz w:val="20"/>
                <w:szCs w:val="20"/>
                <w:lang w:val="en-US" w:eastAsia="zh-CN"/>
              </w:rPr>
            </w:pPr>
            <w:r>
              <w:rPr>
                <w:rFonts w:hint="eastAsia" w:ascii="方正仿宋_GBK" w:hAnsi="方正仿宋_GBK" w:eastAsia="方正仿宋_GBK" w:cs="方正仿宋_GBK"/>
                <w:color w:val="000000"/>
                <w:sz w:val="20"/>
                <w:szCs w:val="20"/>
                <w:lang w:val="en-US" w:eastAsia="zh-CN"/>
              </w:rPr>
              <w:t>（五）生产、销售假药、劣药，经处理后再犯；</w:t>
            </w:r>
          </w:p>
          <w:p>
            <w:pPr>
              <w:pStyle w:val="4"/>
              <w:widowControl/>
              <w:snapToGrid w:val="0"/>
              <w:spacing w:before="0" w:beforeAutospacing="0" w:after="0" w:afterAutospacing="0"/>
              <w:rPr>
                <w:rFonts w:hint="eastAsia" w:ascii="方正仿宋_GBK" w:hAnsi="方正仿宋_GBK" w:eastAsia="方正仿宋_GBK" w:cs="方正仿宋_GBK"/>
                <w:color w:val="000000"/>
                <w:sz w:val="20"/>
                <w:szCs w:val="20"/>
                <w:lang w:val="en-US" w:eastAsia="zh-CN"/>
              </w:rPr>
            </w:pPr>
            <w:r>
              <w:rPr>
                <w:rFonts w:hint="eastAsia" w:ascii="方正仿宋_GBK" w:hAnsi="方正仿宋_GBK" w:eastAsia="方正仿宋_GBK" w:cs="方正仿宋_GBK"/>
                <w:color w:val="000000"/>
                <w:sz w:val="20"/>
                <w:szCs w:val="20"/>
                <w:lang w:val="en-US" w:eastAsia="zh-CN"/>
              </w:rPr>
              <w:t>（六）拒绝、逃避监督检查，伪造、销毁、隐匿有关证据材料，或者擅自动用查封、扣押物品。符合《市场监督管理严重违法失信名单管理办法》第七条 实施下列质量安全领域违法行为，且属于本办法第二条规定情形的，列入严重违法失信名单：</w:t>
            </w:r>
          </w:p>
          <w:p>
            <w:pPr>
              <w:pStyle w:val="4"/>
              <w:widowControl/>
              <w:snapToGrid w:val="0"/>
              <w:spacing w:before="0" w:beforeAutospacing="0" w:after="0" w:afterAutospacing="0"/>
              <w:rPr>
                <w:rFonts w:hint="eastAsia" w:ascii="方正仿宋_GBK" w:hAnsi="方正仿宋_GBK" w:eastAsia="方正仿宋_GBK" w:cs="方正仿宋_GBK"/>
                <w:color w:val="000000"/>
                <w:sz w:val="20"/>
                <w:szCs w:val="20"/>
                <w:lang w:val="en-US" w:eastAsia="zh-CN"/>
              </w:rPr>
            </w:pPr>
            <w:r>
              <w:rPr>
                <w:rFonts w:hint="eastAsia" w:ascii="方正仿宋_GBK" w:hAnsi="方正仿宋_GBK" w:eastAsia="方正仿宋_GBK" w:cs="方正仿宋_GBK"/>
                <w:color w:val="000000"/>
                <w:sz w:val="20"/>
                <w:szCs w:val="20"/>
                <w:lang w:val="en-US" w:eastAsia="zh-CN"/>
              </w:rPr>
              <w:t>（一）生产、销售、出租、使用未取得生产许可、国家明令淘汰、已经报废、未经检验或者检验不合格的特种设备；对不符合安全技术规范要求的移动式压力容器和气瓶进行充装；</w:t>
            </w:r>
          </w:p>
          <w:p>
            <w:pPr>
              <w:pStyle w:val="4"/>
              <w:widowControl/>
              <w:snapToGrid w:val="0"/>
              <w:spacing w:before="0" w:beforeAutospacing="0" w:after="0" w:afterAutospacing="0"/>
              <w:rPr>
                <w:rFonts w:hint="eastAsia" w:ascii="方正仿宋_GBK" w:hAnsi="方正仿宋_GBK" w:eastAsia="方正仿宋_GBK" w:cs="方正仿宋_GBK"/>
                <w:color w:val="000000"/>
                <w:sz w:val="20"/>
                <w:szCs w:val="20"/>
                <w:lang w:val="en-US" w:eastAsia="zh-CN"/>
              </w:rPr>
            </w:pPr>
            <w:r>
              <w:rPr>
                <w:rFonts w:hint="eastAsia" w:ascii="方正仿宋_GBK" w:hAnsi="方正仿宋_GBK" w:eastAsia="方正仿宋_GBK" w:cs="方正仿宋_GBK"/>
                <w:color w:val="000000"/>
                <w:sz w:val="20"/>
                <w:szCs w:val="20"/>
                <w:lang w:val="en-US" w:eastAsia="zh-CN"/>
              </w:rPr>
              <w:t>（二）生产销售不符合保障身体健康和生命安全的国家标准的产品，在产品中掺杂、掺假，以假充真、以次充好，或者以不合格产品冒充合格产品，生产销售国家明令淘汰的产品；</w:t>
            </w:r>
          </w:p>
          <w:p>
            <w:pPr>
              <w:pStyle w:val="4"/>
              <w:widowControl/>
              <w:snapToGrid w:val="0"/>
              <w:spacing w:before="0" w:beforeAutospacing="0" w:after="0" w:afterAutospacing="0"/>
              <w:rPr>
                <w:rFonts w:hint="eastAsia" w:ascii="方正仿宋_GBK" w:hAnsi="方正仿宋_GBK" w:eastAsia="方正仿宋_GBK" w:cs="方正仿宋_GBK"/>
                <w:color w:val="000000"/>
                <w:sz w:val="20"/>
                <w:szCs w:val="20"/>
                <w:lang w:val="en-US" w:eastAsia="zh-CN"/>
              </w:rPr>
            </w:pPr>
            <w:r>
              <w:rPr>
                <w:rFonts w:hint="eastAsia" w:ascii="方正仿宋_GBK" w:hAnsi="方正仿宋_GBK" w:eastAsia="方正仿宋_GBK" w:cs="方正仿宋_GBK"/>
                <w:color w:val="000000"/>
                <w:sz w:val="20"/>
                <w:szCs w:val="20"/>
                <w:lang w:val="en-US" w:eastAsia="zh-CN"/>
              </w:rPr>
              <w:t>（三）产品质量监督抽查不合格，受到省级以上人民政府市场监督管理部门公告，经公告后复查仍不合格；</w:t>
            </w:r>
          </w:p>
          <w:p>
            <w:pPr>
              <w:pStyle w:val="4"/>
              <w:widowControl/>
              <w:snapToGrid w:val="0"/>
              <w:spacing w:before="0" w:beforeAutospacing="0" w:after="0" w:afterAutospacing="0"/>
              <w:rPr>
                <w:rFonts w:hint="eastAsia" w:ascii="方正仿宋_GBK" w:hAnsi="方正仿宋_GBK" w:eastAsia="方正仿宋_GBK" w:cs="方正仿宋_GBK"/>
                <w:color w:val="000000"/>
                <w:sz w:val="20"/>
                <w:szCs w:val="20"/>
                <w:lang w:val="en-US" w:eastAsia="zh-CN"/>
              </w:rPr>
            </w:pPr>
            <w:r>
              <w:rPr>
                <w:rFonts w:hint="eastAsia" w:ascii="方正仿宋_GBK" w:hAnsi="方正仿宋_GBK" w:eastAsia="方正仿宋_GBK" w:cs="方正仿宋_GBK"/>
                <w:color w:val="000000"/>
                <w:sz w:val="20"/>
                <w:szCs w:val="20"/>
                <w:lang w:val="en-US" w:eastAsia="zh-CN"/>
              </w:rPr>
              <w:t>（四）出具虚假或者严重失实的检验、检测、认证、认可结论，严重危害质量安全；</w:t>
            </w:r>
          </w:p>
          <w:p>
            <w:pPr>
              <w:pStyle w:val="4"/>
              <w:widowControl/>
              <w:snapToGrid w:val="0"/>
              <w:spacing w:before="0" w:beforeAutospacing="0" w:after="0" w:afterAutospacing="0"/>
              <w:rPr>
                <w:rFonts w:hint="eastAsia" w:ascii="方正仿宋_GBK" w:hAnsi="方正仿宋_GBK" w:eastAsia="方正仿宋_GBK" w:cs="方正仿宋_GBK"/>
                <w:color w:val="000000"/>
                <w:sz w:val="20"/>
                <w:szCs w:val="20"/>
                <w:lang w:val="en-US" w:eastAsia="zh-CN"/>
              </w:rPr>
            </w:pPr>
            <w:r>
              <w:rPr>
                <w:rFonts w:hint="eastAsia" w:ascii="方正仿宋_GBK" w:hAnsi="方正仿宋_GBK" w:eastAsia="方正仿宋_GBK" w:cs="方正仿宋_GBK"/>
                <w:color w:val="000000"/>
                <w:sz w:val="20"/>
                <w:szCs w:val="20"/>
                <w:lang w:val="en-US" w:eastAsia="zh-CN"/>
              </w:rPr>
              <w:t>（五）伪造、冒用、买卖认证标志或者认证证书；未经认证擅自出厂、销售、进口或者在其他经营性活动中使用被列入强制性产品认证目录内的产品；</w:t>
            </w:r>
          </w:p>
          <w:p>
            <w:pPr>
              <w:pStyle w:val="4"/>
              <w:widowControl/>
              <w:snapToGrid w:val="0"/>
              <w:spacing w:before="0" w:beforeAutospacing="0" w:after="0" w:afterAutospacing="0"/>
              <w:rPr>
                <w:rFonts w:hint="eastAsia" w:ascii="方正仿宋_GBK" w:hAnsi="方正仿宋_GBK" w:eastAsia="方正仿宋_GBK" w:cs="方正仿宋_GBK"/>
                <w:color w:val="000000"/>
                <w:sz w:val="20"/>
                <w:szCs w:val="20"/>
                <w:lang w:val="en-US" w:eastAsia="zh-CN"/>
              </w:rPr>
            </w:pPr>
            <w:r>
              <w:rPr>
                <w:rFonts w:hint="eastAsia" w:ascii="方正仿宋_GBK" w:hAnsi="方正仿宋_GBK" w:eastAsia="方正仿宋_GBK" w:cs="方正仿宋_GBK"/>
                <w:color w:val="000000"/>
                <w:sz w:val="20"/>
                <w:szCs w:val="20"/>
                <w:lang w:val="en-US" w:eastAsia="zh-CN"/>
              </w:rPr>
              <w:t>（六）其他违反质量安全领域法律、行政法规规定，严重危害人民群众身体健康和生命安全的违法行为。</w:t>
            </w:r>
          </w:p>
          <w:p>
            <w:pPr>
              <w:pStyle w:val="4"/>
              <w:widowControl/>
              <w:snapToGrid w:val="0"/>
              <w:spacing w:before="0" w:beforeAutospacing="0" w:after="0" w:afterAutospacing="0"/>
              <w:rPr>
                <w:rFonts w:hint="eastAsia" w:ascii="方正仿宋_GBK" w:hAnsi="方正仿宋_GBK" w:eastAsia="方正仿宋_GBK" w:cs="方正仿宋_GBK"/>
                <w:color w:val="000000"/>
                <w:sz w:val="20"/>
                <w:szCs w:val="20"/>
                <w:lang w:eastAsia="zh-CN"/>
              </w:rPr>
            </w:pPr>
            <w:r>
              <w:rPr>
                <w:rFonts w:hint="eastAsia" w:ascii="方正仿宋_GBK" w:hAnsi="方正仿宋_GBK" w:eastAsia="方正仿宋_GBK" w:cs="方正仿宋_GBK"/>
                <w:b/>
                <w:bCs/>
                <w:color w:val="000000"/>
                <w:sz w:val="20"/>
                <w:szCs w:val="20"/>
              </w:rPr>
              <w:t xml:space="preserve">第六十八条 </w:t>
            </w:r>
            <w:r>
              <w:rPr>
                <w:rFonts w:hint="eastAsia" w:ascii="方正仿宋_GBK" w:hAnsi="方正仿宋_GBK" w:eastAsia="方正仿宋_GBK" w:cs="方正仿宋_GBK"/>
                <w:color w:val="000000"/>
                <w:sz w:val="20"/>
                <w:szCs w:val="20"/>
              </w:rPr>
              <w:t>：定点批发企业违反本条例的规定销售麻醉药品和精神药品，或者违反本条例的规定经营麻醉药品原料药和第一类精神药品原料药的，由药品监督管理部门责令限期改正，给予警告，并没收违法所得和违法销售的药品；逾期不改正的，责令停业，并处违法销售药品货值金额２倍以上５倍以下的罚款；情节严重的，取消其定点批发资格。</w:t>
            </w:r>
          </w:p>
          <w:p>
            <w:pPr>
              <w:pStyle w:val="4"/>
              <w:widowControl/>
              <w:snapToGrid w:val="0"/>
              <w:spacing w:before="0" w:beforeAutospacing="0" w:after="0" w:afterAutospacing="0"/>
              <w:rPr>
                <w:rFonts w:hint="eastAsia" w:ascii="方正仿宋_GBK" w:hAnsi="方正仿宋_GBK" w:eastAsia="方正仿宋_GBK" w:cs="方正仿宋_GBK"/>
                <w:color w:val="000000"/>
                <w:sz w:val="20"/>
                <w:szCs w:val="20"/>
                <w:lang w:eastAsia="zh-CN"/>
              </w:rPr>
            </w:pPr>
            <w:r>
              <w:rPr>
                <w:rFonts w:hint="eastAsia" w:ascii="方正仿宋_GBK" w:hAnsi="方正仿宋_GBK" w:eastAsia="方正仿宋_GBK" w:cs="方正仿宋_GBK"/>
                <w:color w:val="000000"/>
                <w:sz w:val="20"/>
                <w:szCs w:val="20"/>
              </w:rPr>
              <w:t>第六十九条： 定点批发企业违反本条例的规定，有下列情形之一的，由药品监督管理部门责令限期改正，给予警告；逾期不改正的，责令停业，并处２万元以上５万元以下的罚款；情节严重的，取消其定点批发资格：</w:t>
            </w:r>
          </w:p>
          <w:p>
            <w:pPr>
              <w:pStyle w:val="4"/>
              <w:widowControl/>
              <w:snapToGrid w:val="0"/>
              <w:spacing w:before="0" w:beforeAutospacing="0" w:after="0" w:afterAutospacing="0"/>
              <w:rPr>
                <w:rFonts w:hint="eastAsia" w:ascii="方正仿宋_GBK" w:hAnsi="方正仿宋_GBK" w:eastAsia="方正仿宋_GBK" w:cs="方正仿宋_GBK"/>
                <w:color w:val="000000"/>
                <w:sz w:val="20"/>
                <w:szCs w:val="20"/>
                <w:lang w:eastAsia="zh-CN"/>
              </w:rPr>
            </w:pPr>
            <w:r>
              <w:rPr>
                <w:rFonts w:hint="eastAsia" w:ascii="方正仿宋_GBK" w:hAnsi="方正仿宋_GBK" w:eastAsia="方正仿宋_GBK" w:cs="方正仿宋_GBK"/>
                <w:color w:val="000000"/>
                <w:sz w:val="20"/>
                <w:szCs w:val="20"/>
              </w:rPr>
              <w:t>（一）未依照规定购进麻醉药品和第一类精神药品的；</w:t>
            </w:r>
          </w:p>
          <w:p>
            <w:pPr>
              <w:pStyle w:val="4"/>
              <w:widowControl/>
              <w:snapToGrid w:val="0"/>
              <w:spacing w:before="0" w:beforeAutospacing="0" w:after="0" w:afterAutospacing="0"/>
              <w:rPr>
                <w:rFonts w:hint="eastAsia" w:ascii="方正仿宋_GBK" w:hAnsi="方正仿宋_GBK" w:eastAsia="方正仿宋_GBK" w:cs="方正仿宋_GBK"/>
                <w:color w:val="000000"/>
                <w:sz w:val="20"/>
                <w:szCs w:val="20"/>
                <w:lang w:eastAsia="zh-CN"/>
              </w:rPr>
            </w:pPr>
            <w:r>
              <w:rPr>
                <w:rFonts w:hint="eastAsia" w:ascii="方正仿宋_GBK" w:hAnsi="方正仿宋_GBK" w:eastAsia="方正仿宋_GBK" w:cs="方正仿宋_GBK"/>
                <w:color w:val="000000"/>
                <w:sz w:val="20"/>
                <w:szCs w:val="20"/>
              </w:rPr>
              <w:t>（二）未保证供药责任区域内的麻醉药品和第一类精神药品的供应的；</w:t>
            </w:r>
          </w:p>
          <w:p>
            <w:pPr>
              <w:pStyle w:val="4"/>
              <w:widowControl/>
              <w:snapToGrid w:val="0"/>
              <w:spacing w:before="0" w:beforeAutospacing="0" w:after="0" w:afterAutospacing="0"/>
              <w:rPr>
                <w:rFonts w:hint="eastAsia" w:ascii="方正仿宋_GBK" w:hAnsi="方正仿宋_GBK" w:eastAsia="方正仿宋_GBK" w:cs="方正仿宋_GBK"/>
                <w:color w:val="000000"/>
                <w:sz w:val="20"/>
                <w:szCs w:val="20"/>
                <w:lang w:eastAsia="zh-CN"/>
              </w:rPr>
            </w:pPr>
            <w:r>
              <w:rPr>
                <w:rFonts w:hint="eastAsia" w:ascii="方正仿宋_GBK" w:hAnsi="方正仿宋_GBK" w:eastAsia="方正仿宋_GBK" w:cs="方正仿宋_GBK"/>
                <w:color w:val="000000"/>
                <w:sz w:val="20"/>
                <w:szCs w:val="20"/>
              </w:rPr>
              <w:t>（三）未对医疗机构履行送货义务的；</w:t>
            </w:r>
          </w:p>
          <w:p>
            <w:pPr>
              <w:pStyle w:val="4"/>
              <w:widowControl/>
              <w:snapToGrid w:val="0"/>
              <w:spacing w:before="0" w:beforeAutospacing="0" w:after="0" w:afterAutospacing="0"/>
              <w:rPr>
                <w:rFonts w:hint="eastAsia" w:ascii="方正仿宋_GBK" w:hAnsi="方正仿宋_GBK" w:eastAsia="方正仿宋_GBK" w:cs="方正仿宋_GBK"/>
                <w:color w:val="000000"/>
                <w:sz w:val="20"/>
                <w:szCs w:val="20"/>
                <w:lang w:eastAsia="zh-CN"/>
              </w:rPr>
            </w:pPr>
            <w:r>
              <w:rPr>
                <w:rFonts w:hint="eastAsia" w:ascii="方正仿宋_GBK" w:hAnsi="方正仿宋_GBK" w:eastAsia="方正仿宋_GBK" w:cs="方正仿宋_GBK"/>
                <w:color w:val="000000"/>
                <w:sz w:val="20"/>
                <w:szCs w:val="20"/>
              </w:rPr>
              <w:t>（四）未依照规定报告麻醉药品和精神药品的进货、销售、库存数量以及流向的；</w:t>
            </w:r>
          </w:p>
          <w:p>
            <w:pPr>
              <w:pStyle w:val="4"/>
              <w:widowControl/>
              <w:snapToGrid w:val="0"/>
              <w:spacing w:before="0" w:beforeAutospacing="0" w:after="0" w:afterAutospacing="0"/>
              <w:rPr>
                <w:rFonts w:hint="eastAsia" w:ascii="方正仿宋_GBK" w:hAnsi="方正仿宋_GBK" w:eastAsia="方正仿宋_GBK" w:cs="方正仿宋_GBK"/>
                <w:color w:val="000000"/>
                <w:sz w:val="20"/>
                <w:szCs w:val="20"/>
                <w:lang w:eastAsia="zh-CN"/>
              </w:rPr>
            </w:pPr>
            <w:r>
              <w:rPr>
                <w:rFonts w:hint="eastAsia" w:ascii="方正仿宋_GBK" w:hAnsi="方正仿宋_GBK" w:eastAsia="方正仿宋_GBK" w:cs="方正仿宋_GBK"/>
                <w:color w:val="000000"/>
                <w:sz w:val="20"/>
                <w:szCs w:val="20"/>
              </w:rPr>
              <w:t>（五）未依照规定储存麻醉药品和精神药品，或者未依照规定建立、保存专用账册的；</w:t>
            </w:r>
          </w:p>
          <w:p>
            <w:pPr>
              <w:pStyle w:val="4"/>
              <w:widowControl/>
              <w:snapToGrid w:val="0"/>
              <w:spacing w:before="0" w:beforeAutospacing="0" w:after="0" w:afterAutospacing="0"/>
              <w:rPr>
                <w:rFonts w:hint="eastAsia" w:ascii="方正仿宋_GBK" w:hAnsi="方正仿宋_GBK" w:eastAsia="方正仿宋_GBK" w:cs="方正仿宋_GBK"/>
                <w:color w:val="000000"/>
                <w:sz w:val="20"/>
                <w:szCs w:val="20"/>
                <w:lang w:eastAsia="zh-CN"/>
              </w:rPr>
            </w:pPr>
            <w:r>
              <w:rPr>
                <w:rFonts w:hint="eastAsia" w:ascii="方正仿宋_GBK" w:hAnsi="方正仿宋_GBK" w:eastAsia="方正仿宋_GBK" w:cs="方正仿宋_GBK"/>
                <w:color w:val="000000"/>
                <w:sz w:val="20"/>
                <w:szCs w:val="20"/>
              </w:rPr>
              <w:t>（六）未依照规定销毁麻醉药品和精神药品的；</w:t>
            </w:r>
          </w:p>
          <w:p>
            <w:pPr>
              <w:pStyle w:val="4"/>
              <w:widowControl/>
              <w:snapToGrid w:val="0"/>
              <w:spacing w:before="0" w:beforeAutospacing="0" w:after="0" w:afterAutospacing="0"/>
              <w:rPr>
                <w:rFonts w:hint="eastAsia" w:ascii="方正仿宋_GBK" w:hAnsi="方正仿宋_GBK" w:eastAsia="方正仿宋_GBK" w:cs="方正仿宋_GBK"/>
                <w:color w:val="000000"/>
                <w:sz w:val="20"/>
                <w:szCs w:val="20"/>
                <w:lang w:eastAsia="zh-CN"/>
              </w:rPr>
            </w:pPr>
            <w:r>
              <w:rPr>
                <w:rFonts w:hint="eastAsia" w:ascii="方正仿宋_GBK" w:hAnsi="方正仿宋_GBK" w:eastAsia="方正仿宋_GBK" w:cs="方正仿宋_GBK"/>
                <w:color w:val="000000"/>
                <w:sz w:val="20"/>
                <w:szCs w:val="20"/>
              </w:rPr>
              <w:t>（七）区域性批发企业之间违反本条例的规定调剂麻醉药品和第一类精神药品，或者因特殊情况调剂麻醉药品和第一类精神药品后未依照规定备案的。</w:t>
            </w:r>
          </w:p>
          <w:p>
            <w:pPr>
              <w:pStyle w:val="4"/>
              <w:widowControl/>
              <w:snapToGrid w:val="0"/>
              <w:spacing w:before="0" w:beforeAutospacing="0" w:after="0" w:afterAutospacing="0"/>
              <w:rPr>
                <w:rFonts w:hint="eastAsia" w:ascii="方正仿宋_GBK" w:hAnsi="方正仿宋_GBK" w:eastAsia="方正仿宋_GBK" w:cs="方正仿宋_GBK"/>
                <w:color w:val="000000"/>
                <w:sz w:val="20"/>
                <w:szCs w:val="20"/>
                <w:lang w:eastAsia="zh-CN"/>
              </w:rPr>
            </w:pPr>
            <w:r>
              <w:rPr>
                <w:rFonts w:hint="eastAsia" w:ascii="方正仿宋_GBK" w:hAnsi="方正仿宋_GBK" w:eastAsia="方正仿宋_GBK" w:cs="方正仿宋_GBK"/>
                <w:color w:val="000000"/>
                <w:sz w:val="20"/>
                <w:szCs w:val="20"/>
              </w:rPr>
              <w:t>第七十条 第二类精神药品零售企业违反本条例的规定储存、销售或者销毁第二类精神药品的，由药品监督管理部门责令限期改正，给予警告，并没收违法所得和违法销售的药品；逾期不改正的，责令停业，并处５０００元以上２万元以下的罚款；情节严重的，取消其第二类精神药品零售资格。</w:t>
            </w:r>
          </w:p>
          <w:p>
            <w:pPr>
              <w:pStyle w:val="4"/>
              <w:widowControl/>
              <w:snapToGrid w:val="0"/>
              <w:spacing w:before="0" w:beforeAutospacing="0" w:after="0" w:afterAutospacing="0"/>
              <w:rPr>
                <w:sz w:val="31"/>
                <w:szCs w:val="31"/>
              </w:rPr>
            </w:pPr>
            <w:r>
              <w:rPr>
                <w:rFonts w:hint="eastAsia" w:ascii="方正仿宋_GBK" w:hAnsi="方正仿宋_GBK" w:eastAsia="方正仿宋_GBK" w:cs="方正仿宋_GBK"/>
                <w:b/>
                <w:bCs/>
                <w:color w:val="333333"/>
                <w:sz w:val="20"/>
                <w:szCs w:val="20"/>
              </w:rPr>
              <w:t>《易制毒化学品管理条例》第三十八条</w:t>
            </w:r>
            <w:r>
              <w:rPr>
                <w:rFonts w:hint="eastAsia" w:ascii="方正仿宋_GBK" w:hAnsi="方正仿宋_GBK" w:eastAsia="方正仿宋_GBK" w:cs="方正仿宋_GBK"/>
                <w:color w:val="333333"/>
                <w:sz w:val="20"/>
                <w:szCs w:val="20"/>
              </w:rPr>
              <w:t>：违反本条例规定，未经许可或者备案擅自生产、经营、购买、运输易制毒化学品，伪造申请材料骗取易制毒化学品生产、经营、购买或者运输许可证，使用他人的或者伪造、变造、失效的许可证生产、经营、购买、运输易制毒化学品的，由公安机关没收非法生产、经营、购买或者运输的易制毒化学品、用于非法生产易制毒化学品的原料以及非法生产、经营、购买或者运输易制毒化学品的设备、工具，处非法生产、经营、购买或者运输的易制毒化学品货值</w:t>
            </w:r>
            <w:r>
              <w:rPr>
                <w:color w:val="333333"/>
                <w:sz w:val="20"/>
                <w:szCs w:val="20"/>
              </w:rPr>
              <w:t>10</w:t>
            </w:r>
            <w:r>
              <w:rPr>
                <w:rFonts w:hint="eastAsia" w:ascii="方正仿宋_GBK" w:hAnsi="方正仿宋_GBK" w:eastAsia="方正仿宋_GBK" w:cs="方正仿宋_GBK"/>
                <w:color w:val="333333"/>
                <w:sz w:val="20"/>
                <w:szCs w:val="20"/>
              </w:rPr>
              <w:t>倍以上</w:t>
            </w:r>
            <w:r>
              <w:rPr>
                <w:color w:val="333333"/>
                <w:sz w:val="20"/>
                <w:szCs w:val="20"/>
              </w:rPr>
              <w:t>20</w:t>
            </w:r>
            <w:r>
              <w:rPr>
                <w:rFonts w:hint="eastAsia" w:ascii="方正仿宋_GBK" w:hAnsi="方正仿宋_GBK" w:eastAsia="方正仿宋_GBK" w:cs="方正仿宋_GBK"/>
                <w:color w:val="333333"/>
                <w:sz w:val="20"/>
                <w:szCs w:val="20"/>
              </w:rPr>
              <w:t>倍以下的罚款，货值的</w:t>
            </w:r>
            <w:r>
              <w:rPr>
                <w:color w:val="333333"/>
                <w:sz w:val="20"/>
                <w:szCs w:val="20"/>
              </w:rPr>
              <w:t>20</w:t>
            </w:r>
            <w:r>
              <w:rPr>
                <w:rFonts w:hint="eastAsia" w:ascii="方正仿宋_GBK" w:hAnsi="方正仿宋_GBK" w:eastAsia="方正仿宋_GBK" w:cs="方正仿宋_GBK"/>
                <w:color w:val="333333"/>
                <w:sz w:val="20"/>
                <w:szCs w:val="20"/>
              </w:rPr>
              <w:t>倍不足</w:t>
            </w:r>
            <w:r>
              <w:rPr>
                <w:color w:val="333333"/>
                <w:sz w:val="20"/>
                <w:szCs w:val="20"/>
              </w:rPr>
              <w:t>1</w:t>
            </w:r>
            <w:r>
              <w:rPr>
                <w:rFonts w:hint="eastAsia" w:ascii="方正仿宋_GBK" w:hAnsi="方正仿宋_GBK" w:eastAsia="方正仿宋_GBK" w:cs="方正仿宋_GBK"/>
                <w:color w:val="333333"/>
                <w:sz w:val="20"/>
                <w:szCs w:val="20"/>
              </w:rPr>
              <w:t>万元的，按</w:t>
            </w:r>
            <w:r>
              <w:rPr>
                <w:color w:val="333333"/>
                <w:sz w:val="20"/>
                <w:szCs w:val="20"/>
              </w:rPr>
              <w:t>1</w:t>
            </w:r>
            <w:r>
              <w:rPr>
                <w:rFonts w:hint="eastAsia" w:ascii="方正仿宋_GBK" w:hAnsi="方正仿宋_GBK" w:eastAsia="方正仿宋_GBK" w:cs="方正仿宋_GBK"/>
                <w:color w:val="333333"/>
                <w:sz w:val="20"/>
                <w:szCs w:val="20"/>
              </w:rPr>
              <w:t>万元罚款；有违法所得的，没收违法所得；有营业执照的，由市场监督管理部门吊销营业执照；构成犯罪的，依法追究刑事责任。</w:t>
            </w:r>
          </w:p>
          <w:p>
            <w:pPr>
              <w:pStyle w:val="4"/>
              <w:widowControl/>
              <w:snapToGrid w:val="0"/>
              <w:spacing w:before="0" w:beforeAutospacing="0" w:after="0" w:afterAutospacing="0"/>
              <w:rPr>
                <w:rFonts w:hint="eastAsia" w:ascii="方正仿宋_GBK" w:hAnsi="方正仿宋_GBK" w:eastAsia="方正仿宋_GBK" w:cs="方正仿宋_GBK"/>
                <w:color w:val="333333"/>
                <w:sz w:val="20"/>
                <w:szCs w:val="20"/>
                <w:lang w:eastAsia="zh-CN"/>
              </w:rPr>
            </w:pPr>
            <w:r>
              <w:rPr>
                <w:rFonts w:hint="eastAsia" w:ascii="方正仿宋_GBK" w:hAnsi="方正仿宋_GBK" w:eastAsia="方正仿宋_GBK" w:cs="方正仿宋_GBK"/>
                <w:b/>
                <w:bCs/>
                <w:color w:val="333333"/>
                <w:sz w:val="20"/>
                <w:szCs w:val="20"/>
              </w:rPr>
              <w:t>《反兴奋剂条例》第三十八条</w:t>
            </w:r>
            <w:r>
              <w:rPr>
                <w:rFonts w:hint="eastAsia" w:ascii="方正仿宋_GBK" w:hAnsi="方正仿宋_GBK" w:eastAsia="方正仿宋_GBK" w:cs="方正仿宋_GBK"/>
                <w:color w:val="333333"/>
                <w:sz w:val="20"/>
                <w:szCs w:val="20"/>
              </w:rPr>
              <w:t>：违反本条例规定，有下列行为之一的，由县级以上人民政府负责药品监督管理的部门按照国务院药品监督管理部门规定的职责分工，没收非法生产、经营的蛋白同化制剂、肽类激素和违法所得，并处违法生产、经营药品货值金额</w:t>
            </w:r>
            <w:r>
              <w:rPr>
                <w:color w:val="333333"/>
                <w:sz w:val="20"/>
                <w:szCs w:val="20"/>
              </w:rPr>
              <w:t>2</w:t>
            </w:r>
            <w:r>
              <w:rPr>
                <w:rFonts w:hint="eastAsia" w:ascii="方正仿宋_GBK" w:hAnsi="方正仿宋_GBK" w:eastAsia="方正仿宋_GBK" w:cs="方正仿宋_GBK"/>
                <w:color w:val="333333"/>
                <w:sz w:val="20"/>
                <w:szCs w:val="20"/>
              </w:rPr>
              <w:t>倍以上</w:t>
            </w:r>
            <w:r>
              <w:rPr>
                <w:color w:val="333333"/>
                <w:sz w:val="20"/>
                <w:szCs w:val="20"/>
              </w:rPr>
              <w:t>5</w:t>
            </w:r>
            <w:r>
              <w:rPr>
                <w:rFonts w:hint="eastAsia" w:ascii="方正仿宋_GBK" w:hAnsi="方正仿宋_GBK" w:eastAsia="方正仿宋_GBK" w:cs="方正仿宋_GBK"/>
                <w:color w:val="333333"/>
                <w:sz w:val="20"/>
                <w:szCs w:val="20"/>
              </w:rPr>
              <w:t>倍以下的罚款；情节严重的，由发证机关吊销《药品生产许可证》、《药品经营许可证》；构成犯罪的，依法追究刑事责任：</w:t>
            </w:r>
          </w:p>
          <w:p>
            <w:pPr>
              <w:pStyle w:val="4"/>
              <w:widowControl/>
              <w:snapToGrid w:val="0"/>
              <w:spacing w:before="0" w:beforeAutospacing="0" w:after="0" w:afterAutospacing="0"/>
              <w:rPr>
                <w:rFonts w:hint="eastAsia" w:ascii="方正仿宋_GBK" w:hAnsi="方正仿宋_GBK" w:eastAsia="方正仿宋_GBK" w:cs="方正仿宋_GBK"/>
                <w:color w:val="333333"/>
                <w:sz w:val="20"/>
                <w:szCs w:val="20"/>
                <w:lang w:eastAsia="zh-CN"/>
              </w:rPr>
            </w:pPr>
            <w:r>
              <w:rPr>
                <w:rFonts w:hint="eastAsia" w:ascii="方正仿宋_GBK" w:hAnsi="方正仿宋_GBK" w:eastAsia="方正仿宋_GBK" w:cs="方正仿宋_GBK"/>
                <w:color w:val="333333"/>
                <w:sz w:val="20"/>
                <w:szCs w:val="20"/>
              </w:rPr>
              <w:t>（一）生产企业擅自生产蛋白同化制剂、肽类激素，或者未按照本条例规定渠道供应蛋白同化制剂、肽类激素的；</w:t>
            </w:r>
          </w:p>
          <w:p>
            <w:pPr>
              <w:pStyle w:val="4"/>
              <w:widowControl/>
              <w:snapToGrid w:val="0"/>
              <w:spacing w:before="0" w:beforeAutospacing="0" w:after="0" w:afterAutospacing="0"/>
              <w:rPr>
                <w:rFonts w:hint="eastAsia" w:ascii="方正仿宋_GBK" w:hAnsi="方正仿宋_GBK" w:eastAsia="方正仿宋_GBK" w:cs="方正仿宋_GBK"/>
                <w:color w:val="333333"/>
                <w:sz w:val="20"/>
                <w:szCs w:val="20"/>
                <w:lang w:eastAsia="zh-CN"/>
              </w:rPr>
            </w:pPr>
            <w:r>
              <w:rPr>
                <w:rFonts w:hint="eastAsia" w:ascii="方正仿宋_GBK" w:hAnsi="方正仿宋_GBK" w:eastAsia="方正仿宋_GBK" w:cs="方正仿宋_GBK"/>
                <w:color w:val="333333"/>
                <w:sz w:val="20"/>
                <w:szCs w:val="20"/>
              </w:rPr>
              <w:t>（二）药品批发企业擅自经营蛋白同化制剂、肽类激素，或者未按照本条例规定渠道供应蛋白同化制剂、肽类激素的；</w:t>
            </w:r>
          </w:p>
          <w:p>
            <w:pPr>
              <w:pStyle w:val="4"/>
              <w:widowControl/>
              <w:snapToGrid w:val="0"/>
              <w:spacing w:before="0" w:beforeAutospacing="0" w:after="0" w:afterAutospacing="0"/>
              <w:rPr>
                <w:sz w:val="31"/>
                <w:szCs w:val="31"/>
              </w:rPr>
            </w:pPr>
            <w:r>
              <w:rPr>
                <w:rFonts w:hint="eastAsia" w:ascii="方正仿宋_GBK" w:hAnsi="方正仿宋_GBK" w:eastAsia="方正仿宋_GBK" w:cs="方正仿宋_GBK"/>
                <w:color w:val="333333"/>
                <w:sz w:val="20"/>
                <w:szCs w:val="20"/>
              </w:rPr>
              <w:t>（三）药品零售企业擅自经营蛋白同化制剂、肽类激素的。</w:t>
            </w:r>
          </w:p>
          <w:p>
            <w:pPr>
              <w:pStyle w:val="4"/>
              <w:widowControl/>
              <w:snapToGrid w:val="0"/>
              <w:spacing w:before="0" w:beforeAutospacing="0" w:after="0" w:afterAutospacing="0"/>
              <w:rPr>
                <w:rFonts w:hint="eastAsia" w:ascii="方正仿宋_GBK" w:hAnsi="方正仿宋_GBK" w:eastAsia="方正仿宋_GBK" w:cs="方正仿宋_GBK"/>
                <w:color w:val="333333"/>
                <w:sz w:val="20"/>
                <w:szCs w:val="20"/>
                <w:lang w:eastAsia="zh-CN"/>
              </w:rPr>
            </w:pPr>
            <w:r>
              <w:rPr>
                <w:rFonts w:hint="eastAsia" w:ascii="方正仿宋_GBK" w:hAnsi="方正仿宋_GBK" w:eastAsia="方正仿宋_GBK" w:cs="方正仿宋_GBK"/>
                <w:b/>
                <w:bCs/>
                <w:color w:val="333333"/>
                <w:sz w:val="20"/>
                <w:szCs w:val="20"/>
              </w:rPr>
              <w:t>《疫苗管理法》第八十条</w:t>
            </w:r>
            <w:r>
              <w:rPr>
                <w:color w:val="333333"/>
                <w:sz w:val="20"/>
                <w:szCs w:val="20"/>
              </w:rPr>
              <w:t>:</w:t>
            </w:r>
            <w:r>
              <w:rPr>
                <w:rFonts w:hint="eastAsia" w:ascii="方正仿宋_GBK" w:hAnsi="方正仿宋_GBK" w:eastAsia="方正仿宋_GBK" w:cs="方正仿宋_GBK"/>
                <w:color w:val="333333"/>
                <w:sz w:val="20"/>
                <w:szCs w:val="20"/>
              </w:rPr>
              <w:t>生产、销售的疫苗属于假药的，由省级以上人民政府药品监督管理部门没收违法所得和违法生产、销售的疫苗以及专门用于违法生产疫苗的原料、辅料、包装材料、设备等物品，责令停产停业整顿，吊销药品注册证书，直至吊销药品生产许可证等，并处违法生产、销售疫苗货值金额十五倍以上五十倍以下的罚款，货值金额不足五十万元的，按五十万元计算。</w:t>
            </w:r>
          </w:p>
          <w:p>
            <w:pPr>
              <w:pStyle w:val="4"/>
              <w:widowControl/>
              <w:snapToGrid w:val="0"/>
              <w:spacing w:before="0" w:beforeAutospacing="0" w:after="0" w:afterAutospacing="0"/>
              <w:rPr>
                <w:rFonts w:hint="eastAsia" w:ascii="方正仿宋_GBK" w:hAnsi="方正仿宋_GBK" w:eastAsia="方正仿宋_GBK" w:cs="方正仿宋_GBK"/>
                <w:color w:val="333333"/>
                <w:sz w:val="20"/>
                <w:szCs w:val="20"/>
                <w:lang w:eastAsia="zh-CN"/>
              </w:rPr>
            </w:pPr>
            <w:r>
              <w:rPr>
                <w:rFonts w:hint="eastAsia" w:ascii="方正仿宋_GBK" w:hAnsi="方正仿宋_GBK" w:eastAsia="方正仿宋_GBK" w:cs="方正仿宋_GBK"/>
                <w:color w:val="333333"/>
                <w:sz w:val="20"/>
                <w:szCs w:val="20"/>
              </w:rPr>
              <w:t>生产、销售的疫苗属于劣药的，由省级以上人民政府药品监督管理部门没收违法所得和违法生产、销售的疫苗以及专门用于违法生产疫苗的原料、辅料、包装材料、设备等物品，责令停产停业整顿，并处违法生产、销售疫苗货值金额十倍以上三十倍以下的罚款，货值金额不足五十万元的，按五十万元计算；情节严重的，吊销药品注册证书，直至吊销药品生产许可证等。</w:t>
            </w:r>
          </w:p>
          <w:p>
            <w:pPr>
              <w:pStyle w:val="4"/>
              <w:widowControl/>
              <w:snapToGrid w:val="0"/>
              <w:spacing w:before="0" w:beforeAutospacing="0" w:after="0" w:afterAutospacing="0"/>
              <w:rPr>
                <w:rFonts w:hint="eastAsia" w:ascii="方正仿宋_GBK" w:hAnsi="方正仿宋_GBK" w:eastAsia="方正仿宋_GBK" w:cs="方正仿宋_GBK"/>
                <w:color w:val="333333"/>
                <w:sz w:val="20"/>
                <w:szCs w:val="20"/>
                <w:lang w:eastAsia="zh-CN"/>
              </w:rPr>
            </w:pPr>
            <w:r>
              <w:rPr>
                <w:rFonts w:hint="eastAsia" w:ascii="方正仿宋_GBK" w:hAnsi="方正仿宋_GBK" w:eastAsia="方正仿宋_GBK" w:cs="方正仿宋_GBK"/>
                <w:color w:val="333333"/>
                <w:sz w:val="20"/>
                <w:szCs w:val="20"/>
              </w:rPr>
              <w:t>生产、销售的疫苗属于假药，或者生产、销售的疫苗属于劣药且情节严重的，由省级以上人民政府药品监督管理部门对法定代表人、主要负责人、直接负责的主管人员和关键岗位人员以及其他责任人员，没收违法行为发生期间自本单位所获收入，并处所获收入一倍以上十倍以下的罚款，终身禁止从事药品生产经营活动，由公安机关处五日以上十五日以下拘留。</w:t>
            </w:r>
          </w:p>
          <w:p>
            <w:pPr>
              <w:pStyle w:val="4"/>
              <w:widowControl/>
              <w:snapToGrid w:val="0"/>
              <w:spacing w:before="0" w:beforeAutospacing="0" w:after="0" w:afterAutospacing="0"/>
              <w:rPr>
                <w:rFonts w:hint="eastAsia" w:ascii="方正仿宋_GBK" w:hAnsi="方正仿宋_GBK" w:eastAsia="方正仿宋_GBK" w:cs="方正仿宋_GBK"/>
                <w:color w:val="333333"/>
                <w:sz w:val="20"/>
                <w:szCs w:val="20"/>
                <w:lang w:eastAsia="zh-CN"/>
              </w:rPr>
            </w:pPr>
            <w:r>
              <w:rPr>
                <w:rFonts w:hint="eastAsia" w:ascii="方正仿宋_GBK" w:hAnsi="方正仿宋_GBK" w:eastAsia="方正仿宋_GBK" w:cs="方正仿宋_GBK"/>
                <w:b/>
                <w:bCs/>
                <w:color w:val="333333"/>
                <w:sz w:val="20"/>
                <w:szCs w:val="20"/>
              </w:rPr>
              <w:t>第八十一条</w:t>
            </w:r>
            <w:r>
              <w:rPr>
                <w:b/>
                <w:bCs/>
                <w:color w:val="333333"/>
                <w:sz w:val="20"/>
                <w:szCs w:val="20"/>
              </w:rPr>
              <w:t>:</w:t>
            </w:r>
            <w:r>
              <w:rPr>
                <w:rFonts w:hint="eastAsia" w:ascii="方正仿宋_GBK" w:hAnsi="方正仿宋_GBK" w:eastAsia="方正仿宋_GBK" w:cs="方正仿宋_GBK"/>
                <w:color w:val="333333"/>
                <w:sz w:val="20"/>
                <w:szCs w:val="20"/>
              </w:rPr>
              <w:t>有下列情形之一的，由省级以上人民政府药品监督管理部门没收违法所得和违法生产、销售的疫苗以及专门用于违法生产疫苗的原料、辅料、包装材料、设备等物品，责令停产停业整顿，并处违法生产、销售疫苗货值金额十五倍以上五十倍以下的罚款，货值金额不足五十万元的，按五十万元计算；情节严重的，吊销药品相关批准证明文件，直至吊销药品生产许可证等，对法定代表人、主要负责人、直接负责的主管人员和关键岗位人员以及其他责任人员，没收违法行为发生期间自本单位所获收入，并处所获收入百分之五十以上十倍以下的罚款，十年内直至终身禁止从事药品生产经营活动，由公安机关处五日以上十五日以下拘留：</w:t>
            </w:r>
          </w:p>
          <w:p>
            <w:pPr>
              <w:pStyle w:val="4"/>
              <w:widowControl/>
              <w:snapToGrid w:val="0"/>
              <w:spacing w:before="0" w:beforeAutospacing="0" w:after="0" w:afterAutospacing="0"/>
              <w:rPr>
                <w:rFonts w:hint="eastAsia" w:ascii="方正仿宋_GBK" w:hAnsi="方正仿宋_GBK" w:eastAsia="方正仿宋_GBK" w:cs="方正仿宋_GBK"/>
                <w:color w:val="333333"/>
                <w:sz w:val="20"/>
                <w:szCs w:val="20"/>
                <w:lang w:eastAsia="zh-CN"/>
              </w:rPr>
            </w:pPr>
            <w:r>
              <w:rPr>
                <w:rFonts w:hint="eastAsia" w:ascii="方正仿宋_GBK" w:hAnsi="方正仿宋_GBK" w:eastAsia="方正仿宋_GBK" w:cs="方正仿宋_GBK"/>
                <w:color w:val="333333"/>
                <w:sz w:val="20"/>
                <w:szCs w:val="20"/>
              </w:rPr>
              <w:t>（一）申请疫苗临床试验、注册、批签发提供虚假数据、资料、样品或者有其他欺骗行为；</w:t>
            </w:r>
          </w:p>
          <w:p>
            <w:pPr>
              <w:pStyle w:val="4"/>
              <w:widowControl/>
              <w:snapToGrid w:val="0"/>
              <w:spacing w:before="0" w:beforeAutospacing="0" w:after="0" w:afterAutospacing="0"/>
              <w:rPr>
                <w:rFonts w:hint="eastAsia" w:ascii="方正仿宋_GBK" w:hAnsi="方正仿宋_GBK" w:eastAsia="方正仿宋_GBK" w:cs="方正仿宋_GBK"/>
                <w:color w:val="333333"/>
                <w:sz w:val="20"/>
                <w:szCs w:val="20"/>
                <w:lang w:eastAsia="zh-CN"/>
              </w:rPr>
            </w:pPr>
            <w:r>
              <w:rPr>
                <w:rFonts w:hint="eastAsia" w:ascii="方正仿宋_GBK" w:hAnsi="方正仿宋_GBK" w:eastAsia="方正仿宋_GBK" w:cs="方正仿宋_GBK"/>
                <w:color w:val="333333"/>
                <w:sz w:val="20"/>
                <w:szCs w:val="20"/>
              </w:rPr>
              <w:t>（二）编造生产、检验记录或者更改产品批号；</w:t>
            </w:r>
          </w:p>
          <w:p>
            <w:pPr>
              <w:pStyle w:val="4"/>
              <w:widowControl/>
              <w:snapToGrid w:val="0"/>
              <w:spacing w:before="0" w:beforeAutospacing="0" w:after="0" w:afterAutospacing="0"/>
              <w:rPr>
                <w:rFonts w:hint="eastAsia" w:ascii="方正仿宋_GBK" w:hAnsi="方正仿宋_GBK" w:eastAsia="方正仿宋_GBK" w:cs="方正仿宋_GBK"/>
                <w:color w:val="333333"/>
                <w:sz w:val="20"/>
                <w:szCs w:val="20"/>
                <w:lang w:eastAsia="zh-CN"/>
              </w:rPr>
            </w:pPr>
            <w:r>
              <w:rPr>
                <w:rFonts w:hint="eastAsia" w:ascii="方正仿宋_GBK" w:hAnsi="方正仿宋_GBK" w:eastAsia="方正仿宋_GBK" w:cs="方正仿宋_GBK"/>
                <w:color w:val="333333"/>
                <w:sz w:val="20"/>
                <w:szCs w:val="20"/>
              </w:rPr>
              <w:t>（三）疾病预防控制机构以外的单位或者个人向接种单位供应疫苗；</w:t>
            </w:r>
          </w:p>
          <w:p>
            <w:pPr>
              <w:pStyle w:val="4"/>
              <w:widowControl/>
              <w:snapToGrid w:val="0"/>
              <w:spacing w:before="0" w:beforeAutospacing="0" w:after="0" w:afterAutospacing="0"/>
              <w:rPr>
                <w:rFonts w:hint="eastAsia" w:ascii="方正仿宋_GBK" w:hAnsi="方正仿宋_GBK" w:eastAsia="方正仿宋_GBK" w:cs="方正仿宋_GBK"/>
                <w:color w:val="333333"/>
                <w:sz w:val="20"/>
                <w:szCs w:val="20"/>
                <w:lang w:eastAsia="zh-CN"/>
              </w:rPr>
            </w:pPr>
            <w:r>
              <w:rPr>
                <w:rFonts w:hint="eastAsia" w:ascii="方正仿宋_GBK" w:hAnsi="方正仿宋_GBK" w:eastAsia="方正仿宋_GBK" w:cs="方正仿宋_GBK"/>
                <w:color w:val="333333"/>
                <w:sz w:val="20"/>
                <w:szCs w:val="20"/>
              </w:rPr>
              <w:t>（四）委托生产疫苗未经批准；</w:t>
            </w:r>
          </w:p>
          <w:p>
            <w:pPr>
              <w:pStyle w:val="4"/>
              <w:widowControl/>
              <w:snapToGrid w:val="0"/>
              <w:spacing w:before="0" w:beforeAutospacing="0" w:after="0" w:afterAutospacing="0"/>
              <w:rPr>
                <w:rFonts w:hint="eastAsia" w:ascii="方正仿宋_GBK" w:hAnsi="方正仿宋_GBK" w:eastAsia="方正仿宋_GBK" w:cs="方正仿宋_GBK"/>
                <w:color w:val="333333"/>
                <w:sz w:val="20"/>
                <w:szCs w:val="20"/>
                <w:lang w:eastAsia="zh-CN"/>
              </w:rPr>
            </w:pPr>
            <w:r>
              <w:rPr>
                <w:rFonts w:hint="eastAsia" w:ascii="方正仿宋_GBK" w:hAnsi="方正仿宋_GBK" w:eastAsia="方正仿宋_GBK" w:cs="方正仿宋_GBK"/>
                <w:color w:val="333333"/>
                <w:sz w:val="20"/>
                <w:szCs w:val="20"/>
              </w:rPr>
              <w:t>（五）生产工艺、生产场地、关键设备等发生变更按照规定应当经批准而未经批准；</w:t>
            </w:r>
          </w:p>
          <w:p>
            <w:pPr>
              <w:pStyle w:val="4"/>
              <w:widowControl/>
              <w:snapToGrid w:val="0"/>
              <w:spacing w:before="0" w:beforeAutospacing="0" w:after="0" w:afterAutospacing="0"/>
              <w:rPr>
                <w:rFonts w:hint="eastAsia" w:ascii="方正仿宋_GBK" w:hAnsi="方正仿宋_GBK" w:eastAsia="方正仿宋_GBK" w:cs="方正仿宋_GBK"/>
                <w:color w:val="333333"/>
                <w:sz w:val="20"/>
                <w:szCs w:val="20"/>
                <w:lang w:eastAsia="zh-CN"/>
              </w:rPr>
            </w:pPr>
            <w:r>
              <w:rPr>
                <w:rFonts w:hint="eastAsia" w:ascii="方正仿宋_GBK" w:hAnsi="方正仿宋_GBK" w:eastAsia="方正仿宋_GBK" w:cs="方正仿宋_GBK"/>
                <w:color w:val="333333"/>
                <w:sz w:val="20"/>
                <w:szCs w:val="20"/>
              </w:rPr>
              <w:t>（六）更新疫苗说明书、标签按照规定应当经核准而未经核准。</w:t>
            </w:r>
          </w:p>
          <w:p>
            <w:pPr>
              <w:pStyle w:val="4"/>
              <w:widowControl/>
              <w:snapToGrid w:val="0"/>
              <w:spacing w:before="0" w:beforeAutospacing="0" w:after="0" w:afterAutospacing="0"/>
              <w:rPr>
                <w:rFonts w:hint="eastAsia" w:ascii="方正仿宋_GBK" w:hAnsi="方正仿宋_GBK" w:eastAsia="方正仿宋_GBK" w:cs="方正仿宋_GBK"/>
                <w:color w:val="333333"/>
                <w:sz w:val="20"/>
                <w:szCs w:val="20"/>
                <w:lang w:eastAsia="zh-CN"/>
              </w:rPr>
            </w:pPr>
            <w:r>
              <w:rPr>
                <w:rFonts w:hint="eastAsia" w:ascii="方正仿宋_GBK" w:hAnsi="方正仿宋_GBK" w:eastAsia="方正仿宋_GBK" w:cs="方正仿宋_GBK"/>
                <w:b/>
                <w:bCs/>
                <w:color w:val="333333"/>
                <w:sz w:val="20"/>
                <w:szCs w:val="20"/>
              </w:rPr>
              <w:t>第八十二条</w:t>
            </w:r>
            <w:r>
              <w:rPr>
                <w:color w:val="333333"/>
                <w:sz w:val="20"/>
                <w:szCs w:val="20"/>
              </w:rPr>
              <w:t>:</w:t>
            </w:r>
            <w:r>
              <w:rPr>
                <w:rFonts w:hint="eastAsia" w:ascii="方正仿宋_GBK" w:hAnsi="方正仿宋_GBK" w:eastAsia="方正仿宋_GBK" w:cs="方正仿宋_GBK"/>
                <w:color w:val="333333"/>
                <w:sz w:val="20"/>
                <w:szCs w:val="20"/>
              </w:rPr>
              <w:t>除本法另有规定的情形外，疫苗上市许可持有人或者其他单位违反药品相关质量管理规范的，由县级以上人民政府药品监督管理部门责令改正，给予警告；拒不改正的，处二十万元以上五十万元以下的罚款；情节严重的，处五十万元以上三百万元以下的罚款，责令停产停业整顿，直至吊销药品相关批准证明文件、药品生产许可证等，对法定代表人、主要负责人、直接负责的主管人员和关键岗位人员以及其他责任人员，没收违法行为发生期间自本单位所获收入，并处所获收入百分之五十以上五倍以下的罚款，十年内直至终身禁止从事药品生产经营活动。</w:t>
            </w:r>
          </w:p>
          <w:p>
            <w:pPr>
              <w:pStyle w:val="4"/>
              <w:widowControl/>
              <w:snapToGrid w:val="0"/>
              <w:spacing w:before="0" w:beforeAutospacing="0" w:after="0" w:afterAutospacing="0"/>
              <w:rPr>
                <w:rFonts w:hint="eastAsia" w:ascii="方正仿宋_GBK" w:hAnsi="方正仿宋_GBK" w:eastAsia="方正仿宋_GBK" w:cs="方正仿宋_GBK"/>
                <w:color w:val="333333"/>
                <w:sz w:val="20"/>
                <w:szCs w:val="20"/>
                <w:lang w:eastAsia="zh-CN"/>
              </w:rPr>
            </w:pPr>
            <w:r>
              <w:rPr>
                <w:rFonts w:hint="eastAsia" w:ascii="方正仿宋_GBK" w:hAnsi="方正仿宋_GBK" w:eastAsia="方正仿宋_GBK" w:cs="方正仿宋_GBK"/>
                <w:b/>
                <w:bCs/>
                <w:color w:val="333333"/>
                <w:sz w:val="20"/>
                <w:szCs w:val="20"/>
              </w:rPr>
              <w:t>第八十三条</w:t>
            </w:r>
            <w:r>
              <w:rPr>
                <w:b/>
                <w:bCs/>
                <w:color w:val="333333"/>
                <w:sz w:val="20"/>
                <w:szCs w:val="20"/>
              </w:rPr>
              <w:t>:</w:t>
            </w:r>
            <w:r>
              <w:rPr>
                <w:rFonts w:hint="eastAsia" w:ascii="方正仿宋_GBK" w:hAnsi="方正仿宋_GBK" w:eastAsia="方正仿宋_GBK" w:cs="方正仿宋_GBK"/>
                <w:color w:val="333333"/>
                <w:sz w:val="20"/>
                <w:szCs w:val="20"/>
              </w:rPr>
              <w:t>违反本法规定，疫苗上市许可持有人有下列情形之一的，由省级以上人民政府药品监督管理部门责令改正，给予警告；拒不改正的，处二十万元以上五十万元以下的罚款；情节严重的，责令停产停业整顿，并处五十万元以上二百万元以下的罚款：</w:t>
            </w:r>
          </w:p>
          <w:p>
            <w:pPr>
              <w:pStyle w:val="4"/>
              <w:widowControl/>
              <w:snapToGrid w:val="0"/>
              <w:spacing w:before="0" w:beforeAutospacing="0" w:after="0" w:afterAutospacing="0"/>
              <w:rPr>
                <w:rFonts w:hint="eastAsia" w:ascii="方正仿宋_GBK" w:hAnsi="方正仿宋_GBK" w:eastAsia="方正仿宋_GBK" w:cs="方正仿宋_GBK"/>
                <w:color w:val="333333"/>
                <w:sz w:val="20"/>
                <w:szCs w:val="20"/>
                <w:lang w:eastAsia="zh-CN"/>
              </w:rPr>
            </w:pPr>
            <w:r>
              <w:rPr>
                <w:rFonts w:hint="eastAsia" w:ascii="方正仿宋_GBK" w:hAnsi="方正仿宋_GBK" w:eastAsia="方正仿宋_GBK" w:cs="方正仿宋_GBK"/>
                <w:color w:val="333333"/>
                <w:sz w:val="20"/>
                <w:szCs w:val="20"/>
              </w:rPr>
              <w:t>（一）未按照规定建立疫苗电子追溯系统；</w:t>
            </w:r>
          </w:p>
          <w:p>
            <w:pPr>
              <w:pStyle w:val="4"/>
              <w:widowControl/>
              <w:snapToGrid w:val="0"/>
              <w:spacing w:before="0" w:beforeAutospacing="0" w:after="0" w:afterAutospacing="0"/>
              <w:rPr>
                <w:rFonts w:hint="eastAsia" w:ascii="方正仿宋_GBK" w:hAnsi="方正仿宋_GBK" w:eastAsia="方正仿宋_GBK" w:cs="方正仿宋_GBK"/>
                <w:color w:val="333333"/>
                <w:sz w:val="20"/>
                <w:szCs w:val="20"/>
                <w:lang w:eastAsia="zh-CN"/>
              </w:rPr>
            </w:pPr>
            <w:r>
              <w:rPr>
                <w:rFonts w:hint="eastAsia" w:ascii="方正仿宋_GBK" w:hAnsi="方正仿宋_GBK" w:eastAsia="方正仿宋_GBK" w:cs="方正仿宋_GBK"/>
                <w:color w:val="333333"/>
                <w:sz w:val="20"/>
                <w:szCs w:val="20"/>
              </w:rPr>
              <w:t>（二）法定代表人、主要负责人和生产管理负责人、质量管理负责人、质量受权人等关键岗位人员不符合规定条件或者未按照规定对其进行培训、考核；</w:t>
            </w:r>
          </w:p>
          <w:p>
            <w:pPr>
              <w:pStyle w:val="4"/>
              <w:widowControl/>
              <w:snapToGrid w:val="0"/>
              <w:spacing w:before="0" w:beforeAutospacing="0" w:after="0" w:afterAutospacing="0"/>
              <w:rPr>
                <w:rFonts w:hint="eastAsia" w:ascii="方正仿宋_GBK" w:hAnsi="方正仿宋_GBK" w:eastAsia="方正仿宋_GBK" w:cs="方正仿宋_GBK"/>
                <w:color w:val="333333"/>
                <w:sz w:val="20"/>
                <w:szCs w:val="20"/>
                <w:lang w:eastAsia="zh-CN"/>
              </w:rPr>
            </w:pPr>
            <w:r>
              <w:rPr>
                <w:rFonts w:hint="eastAsia" w:ascii="方正仿宋_GBK" w:hAnsi="方正仿宋_GBK" w:eastAsia="方正仿宋_GBK" w:cs="方正仿宋_GBK"/>
                <w:color w:val="333333"/>
                <w:sz w:val="20"/>
                <w:szCs w:val="20"/>
              </w:rPr>
              <w:t>（三）未按照规定报告或者备案；</w:t>
            </w:r>
          </w:p>
          <w:p>
            <w:pPr>
              <w:pStyle w:val="4"/>
              <w:widowControl/>
              <w:snapToGrid w:val="0"/>
              <w:spacing w:before="0" w:beforeAutospacing="0" w:after="0" w:afterAutospacing="0"/>
              <w:rPr>
                <w:rFonts w:hint="eastAsia" w:ascii="方正仿宋_GBK" w:hAnsi="方正仿宋_GBK" w:eastAsia="方正仿宋_GBK" w:cs="方正仿宋_GBK"/>
                <w:color w:val="333333"/>
                <w:sz w:val="20"/>
                <w:szCs w:val="20"/>
                <w:lang w:eastAsia="zh-CN"/>
              </w:rPr>
            </w:pPr>
            <w:r>
              <w:rPr>
                <w:rFonts w:hint="eastAsia" w:ascii="方正仿宋_GBK" w:hAnsi="方正仿宋_GBK" w:eastAsia="方正仿宋_GBK" w:cs="方正仿宋_GBK"/>
                <w:color w:val="333333"/>
                <w:sz w:val="20"/>
                <w:szCs w:val="20"/>
              </w:rPr>
              <w:t>（四）未按照规定开展上市后研究，或者未按照规定设立机构、配备人员主动收集、跟踪分析疑似预防接种异常反应；</w:t>
            </w:r>
          </w:p>
          <w:p>
            <w:pPr>
              <w:pStyle w:val="4"/>
              <w:widowControl/>
              <w:snapToGrid w:val="0"/>
              <w:spacing w:before="0" w:beforeAutospacing="0" w:after="0" w:afterAutospacing="0"/>
              <w:rPr>
                <w:rFonts w:hint="eastAsia" w:ascii="方正仿宋_GBK" w:hAnsi="方正仿宋_GBK" w:eastAsia="方正仿宋_GBK" w:cs="方正仿宋_GBK"/>
                <w:color w:val="333333"/>
                <w:sz w:val="20"/>
                <w:szCs w:val="20"/>
                <w:lang w:eastAsia="zh-CN"/>
              </w:rPr>
            </w:pPr>
            <w:r>
              <w:rPr>
                <w:rFonts w:hint="eastAsia" w:ascii="方正仿宋_GBK" w:hAnsi="方正仿宋_GBK" w:eastAsia="方正仿宋_GBK" w:cs="方正仿宋_GBK"/>
                <w:color w:val="333333"/>
                <w:sz w:val="20"/>
                <w:szCs w:val="20"/>
              </w:rPr>
              <w:t>（五）未按照规定投保疫苗责任强制保险；</w:t>
            </w:r>
          </w:p>
          <w:p>
            <w:pPr>
              <w:pStyle w:val="4"/>
              <w:widowControl/>
              <w:snapToGrid w:val="0"/>
              <w:spacing w:before="0" w:beforeAutospacing="0" w:after="0" w:afterAutospacing="0"/>
              <w:rPr>
                <w:rFonts w:hint="eastAsia" w:ascii="方正仿宋_GBK" w:hAnsi="方正仿宋_GBK" w:eastAsia="方正仿宋_GBK" w:cs="方正仿宋_GBK"/>
                <w:color w:val="333333"/>
                <w:sz w:val="20"/>
                <w:szCs w:val="20"/>
              </w:rPr>
            </w:pPr>
            <w:r>
              <w:rPr>
                <w:rFonts w:hint="eastAsia" w:ascii="方正仿宋_GBK" w:hAnsi="方正仿宋_GBK" w:eastAsia="方正仿宋_GBK" w:cs="方正仿宋_GBK"/>
                <w:color w:val="333333"/>
                <w:sz w:val="20"/>
                <w:szCs w:val="20"/>
              </w:rPr>
              <w:t>（六）未按照规定建立信息公开制度。</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380" w:type="dxa"/>
            <w:vMerge w:val="continue"/>
            <w:tcBorders>
              <w:top w:val="single" w:color="000000" w:sz="6" w:space="0"/>
              <w:left w:val="single" w:color="000000" w:sz="6" w:space="0"/>
              <w:bottom w:val="single" w:color="000000" w:sz="6" w:space="0"/>
              <w:right w:val="single" w:color="000000" w:sz="6" w:space="0"/>
            </w:tcBorders>
            <w:noWrap w:val="0"/>
            <w:tcMar>
              <w:top w:w="14" w:type="dxa"/>
              <w:left w:w="14" w:type="dxa"/>
              <w:right w:w="14" w:type="dxa"/>
            </w:tcMar>
            <w:vAlign w:val="center"/>
          </w:tcPr>
          <w:p>
            <w:pPr>
              <w:snapToGrid w:val="0"/>
              <w:rPr>
                <w:rFonts w:hint="eastAsia" w:ascii="宋体"/>
                <w:color w:val="333333"/>
                <w:sz w:val="24"/>
              </w:rPr>
            </w:pPr>
          </w:p>
        </w:tc>
        <w:tc>
          <w:tcPr>
            <w:tcW w:w="553" w:type="dxa"/>
            <w:vMerge w:val="continue"/>
            <w:tcBorders>
              <w:top w:val="single" w:color="000000" w:sz="6" w:space="0"/>
              <w:left w:val="single" w:color="000000" w:sz="6" w:space="0"/>
              <w:bottom w:val="single" w:color="000000" w:sz="6" w:space="0"/>
              <w:right w:val="single" w:color="000000" w:sz="6" w:space="0"/>
            </w:tcBorders>
            <w:noWrap w:val="0"/>
            <w:tcMar>
              <w:top w:w="14" w:type="dxa"/>
              <w:left w:w="14" w:type="dxa"/>
              <w:right w:w="14" w:type="dxa"/>
            </w:tcMar>
            <w:vAlign w:val="center"/>
          </w:tcPr>
          <w:p>
            <w:pPr>
              <w:snapToGrid w:val="0"/>
              <w:rPr>
                <w:rFonts w:hint="eastAsia" w:ascii="宋体"/>
                <w:color w:val="333333"/>
                <w:sz w:val="24"/>
              </w:rPr>
            </w:pPr>
          </w:p>
        </w:tc>
        <w:tc>
          <w:tcPr>
            <w:tcW w:w="2708" w:type="dxa"/>
            <w:tcBorders>
              <w:top w:val="single" w:color="000000" w:sz="6" w:space="0"/>
              <w:left w:val="single" w:color="000000" w:sz="6" w:space="0"/>
              <w:bottom w:val="single" w:color="000000" w:sz="6" w:space="0"/>
              <w:right w:val="single" w:color="000000" w:sz="6" w:space="0"/>
            </w:tcBorders>
            <w:noWrap w:val="0"/>
            <w:tcMar>
              <w:top w:w="14" w:type="dxa"/>
              <w:left w:w="14" w:type="dxa"/>
              <w:right w:w="14" w:type="dxa"/>
            </w:tcMar>
            <w:vAlign w:val="center"/>
          </w:tcPr>
          <w:p>
            <w:pPr>
              <w:pStyle w:val="4"/>
              <w:widowControl/>
              <w:snapToGrid w:val="0"/>
              <w:spacing w:before="0" w:beforeAutospacing="0" w:after="0" w:afterAutospacing="0"/>
              <w:rPr>
                <w:sz w:val="31"/>
                <w:szCs w:val="31"/>
              </w:rPr>
            </w:pPr>
            <w:r>
              <w:rPr>
                <w:rFonts w:hint="eastAsia" w:ascii="方正仿宋_GBK" w:hAnsi="方正仿宋_GBK" w:eastAsia="方正仿宋_GBK" w:cs="方正仿宋_GBK"/>
                <w:color w:val="000000"/>
                <w:sz w:val="20"/>
                <w:szCs w:val="20"/>
              </w:rPr>
              <w:t>生产、销售未经注册的第二、三类医疗器械</w:t>
            </w:r>
          </w:p>
        </w:tc>
        <w:tc>
          <w:tcPr>
            <w:tcW w:w="6559" w:type="dxa"/>
            <w:tcBorders>
              <w:top w:val="single" w:color="000000" w:sz="6" w:space="0"/>
              <w:left w:val="single" w:color="000000" w:sz="6" w:space="0"/>
              <w:bottom w:val="single" w:color="000000" w:sz="6" w:space="0"/>
              <w:right w:val="single" w:color="000000" w:sz="6" w:space="0"/>
            </w:tcBorders>
            <w:noWrap w:val="0"/>
            <w:tcMar>
              <w:top w:w="14" w:type="dxa"/>
              <w:left w:w="14" w:type="dxa"/>
              <w:right w:w="14" w:type="dxa"/>
            </w:tcMar>
            <w:vAlign w:val="center"/>
          </w:tcPr>
          <w:p>
            <w:pPr>
              <w:pStyle w:val="4"/>
              <w:widowControl/>
              <w:snapToGrid w:val="0"/>
              <w:spacing w:before="0" w:beforeAutospacing="0" w:after="0" w:afterAutospacing="0"/>
              <w:rPr>
                <w:rFonts w:hint="eastAsia" w:ascii="方正仿宋_GBK" w:hAnsi="方正仿宋_GBK" w:eastAsia="方正仿宋_GBK" w:cs="方正仿宋_GBK"/>
                <w:color w:val="333333"/>
                <w:sz w:val="20"/>
                <w:szCs w:val="20"/>
                <w:lang w:eastAsia="zh-CN"/>
              </w:rPr>
            </w:pPr>
            <w:r>
              <w:rPr>
                <w:rFonts w:hint="eastAsia" w:ascii="方正仿宋_GBK" w:hAnsi="方正仿宋_GBK" w:eastAsia="方正仿宋_GBK" w:cs="方正仿宋_GBK"/>
                <w:b/>
                <w:bCs/>
                <w:color w:val="000000"/>
                <w:sz w:val="20"/>
                <w:szCs w:val="20"/>
              </w:rPr>
              <w:t>《医疗器械监督管理条例》第八十一条</w:t>
            </w:r>
            <w:r>
              <w:rPr>
                <w:rFonts w:hint="eastAsia" w:ascii="方正仿宋_GBK" w:hAnsi="方正仿宋_GBK" w:eastAsia="方正仿宋_GBK" w:cs="方正仿宋_GBK"/>
                <w:color w:val="000000"/>
                <w:sz w:val="20"/>
                <w:szCs w:val="20"/>
              </w:rPr>
              <w:t>：有下列情形之一的，由负责药品监督管理的部门没收违法所得、违法生产经营的医疗器械和用于违法生产经营的工具、设备、原材料等物品；违法生产经营的医疗器械货值金额不足</w:t>
            </w:r>
            <w:r>
              <w:rPr>
                <w:rFonts w:hint="eastAsia" w:ascii="方正仿宋_GBK" w:hAnsi="方正仿宋_GBK" w:eastAsia="方正仿宋_GBK" w:cs="方正仿宋_GBK"/>
                <w:color w:val="333333"/>
                <w:sz w:val="20"/>
                <w:szCs w:val="20"/>
              </w:rPr>
              <w:t>1万元的，并处5万元以上15万元以下罚款；货值金额1万元以上的，并处货值金额15倍以上30倍以下罚款；情节严重的，责令停产停业，10年内不受理相关责任人以及单位提出的医疗器械许可申请，对违法单位的法定代表人、主要负责人、直接负责的主管人员和其他责任人员，没收违法行为发生期间自本单位所获收入，并处所获收入30%以上3倍以下罚款，终身禁止其从事医疗器械生产经营活动：</w:t>
            </w:r>
          </w:p>
          <w:p>
            <w:pPr>
              <w:pStyle w:val="4"/>
              <w:widowControl/>
              <w:snapToGrid w:val="0"/>
              <w:spacing w:before="0" w:beforeAutospacing="0" w:after="0" w:afterAutospacing="0"/>
              <w:rPr>
                <w:rFonts w:hint="eastAsia" w:ascii="方正仿宋_GBK" w:hAnsi="方正仿宋_GBK" w:eastAsia="方正仿宋_GBK" w:cs="方正仿宋_GBK"/>
                <w:color w:val="333333"/>
                <w:sz w:val="20"/>
                <w:szCs w:val="20"/>
                <w:lang w:eastAsia="zh-CN"/>
              </w:rPr>
            </w:pPr>
            <w:r>
              <w:rPr>
                <w:rFonts w:hint="eastAsia" w:ascii="方正仿宋_GBK" w:hAnsi="方正仿宋_GBK" w:eastAsia="方正仿宋_GBK" w:cs="方正仿宋_GBK"/>
                <w:color w:val="333333"/>
                <w:sz w:val="20"/>
                <w:szCs w:val="20"/>
              </w:rPr>
              <w:t>（一）生产、经营未取得医疗器械注册证的第二类、第三类医疗器械；</w:t>
            </w:r>
          </w:p>
          <w:p>
            <w:pPr>
              <w:pStyle w:val="4"/>
              <w:widowControl/>
              <w:snapToGrid w:val="0"/>
              <w:spacing w:before="0" w:beforeAutospacing="0" w:after="0" w:afterAutospacing="0"/>
              <w:rPr>
                <w:rFonts w:hint="eastAsia" w:ascii="方正仿宋_GBK" w:hAnsi="方正仿宋_GBK" w:eastAsia="方正仿宋_GBK" w:cs="方正仿宋_GBK"/>
                <w:color w:val="333333"/>
                <w:sz w:val="20"/>
                <w:szCs w:val="20"/>
                <w:lang w:eastAsia="zh-CN"/>
              </w:rPr>
            </w:pPr>
            <w:r>
              <w:rPr>
                <w:rFonts w:hint="eastAsia" w:ascii="方正仿宋_GBK" w:hAnsi="方正仿宋_GBK" w:eastAsia="方正仿宋_GBK" w:cs="方正仿宋_GBK"/>
                <w:color w:val="333333"/>
                <w:sz w:val="20"/>
                <w:szCs w:val="20"/>
              </w:rPr>
              <w:t>（二）未经许可从事第二类、第三类医疗器械生产活动；</w:t>
            </w:r>
          </w:p>
          <w:p>
            <w:pPr>
              <w:pStyle w:val="4"/>
              <w:widowControl/>
              <w:snapToGrid w:val="0"/>
              <w:spacing w:before="0" w:beforeAutospacing="0" w:after="0" w:afterAutospacing="0"/>
              <w:rPr>
                <w:rFonts w:hint="eastAsia" w:ascii="方正仿宋_GBK" w:hAnsi="方正仿宋_GBK" w:eastAsia="方正仿宋_GBK" w:cs="方正仿宋_GBK"/>
                <w:color w:val="333333"/>
                <w:sz w:val="20"/>
                <w:szCs w:val="20"/>
                <w:lang w:eastAsia="zh-CN"/>
              </w:rPr>
            </w:pPr>
            <w:r>
              <w:rPr>
                <w:rFonts w:hint="eastAsia" w:ascii="方正仿宋_GBK" w:hAnsi="方正仿宋_GBK" w:eastAsia="方正仿宋_GBK" w:cs="方正仿宋_GBK"/>
                <w:color w:val="333333"/>
                <w:sz w:val="20"/>
                <w:szCs w:val="20"/>
              </w:rPr>
              <w:t>（三）未经许可从事第三类医疗器械经营活动。</w:t>
            </w:r>
          </w:p>
          <w:p>
            <w:pPr>
              <w:pStyle w:val="4"/>
              <w:widowControl/>
              <w:snapToGrid w:val="0"/>
              <w:spacing w:before="0" w:beforeAutospacing="0" w:after="0" w:afterAutospacing="0"/>
              <w:rPr>
                <w:sz w:val="31"/>
                <w:szCs w:val="31"/>
              </w:rPr>
            </w:pPr>
            <w:r>
              <w:rPr>
                <w:rFonts w:hint="eastAsia" w:ascii="方正仿宋_GBK" w:hAnsi="方正仿宋_GBK" w:eastAsia="方正仿宋_GBK" w:cs="方正仿宋_GBK"/>
                <w:color w:val="333333"/>
                <w:sz w:val="20"/>
                <w:szCs w:val="20"/>
              </w:rPr>
              <w:t>有前款第一项情形、情节严重的，由原发证部门吊销医疗器械生产许可证或者医疗器械经营许可证。</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380" w:type="dxa"/>
            <w:vMerge w:val="continue"/>
            <w:tcBorders>
              <w:top w:val="single" w:color="000000" w:sz="6" w:space="0"/>
              <w:left w:val="single" w:color="000000" w:sz="6" w:space="0"/>
              <w:bottom w:val="single" w:color="000000" w:sz="6" w:space="0"/>
              <w:right w:val="single" w:color="000000" w:sz="6" w:space="0"/>
            </w:tcBorders>
            <w:noWrap w:val="0"/>
            <w:tcMar>
              <w:top w:w="14" w:type="dxa"/>
              <w:left w:w="14" w:type="dxa"/>
              <w:right w:w="14" w:type="dxa"/>
            </w:tcMar>
            <w:vAlign w:val="center"/>
          </w:tcPr>
          <w:p>
            <w:pPr>
              <w:snapToGrid w:val="0"/>
              <w:rPr>
                <w:rFonts w:hint="eastAsia" w:ascii="宋体"/>
                <w:color w:val="333333"/>
                <w:sz w:val="24"/>
              </w:rPr>
            </w:pPr>
          </w:p>
        </w:tc>
        <w:tc>
          <w:tcPr>
            <w:tcW w:w="553" w:type="dxa"/>
            <w:vMerge w:val="continue"/>
            <w:tcBorders>
              <w:top w:val="single" w:color="000000" w:sz="6" w:space="0"/>
              <w:left w:val="single" w:color="000000" w:sz="6" w:space="0"/>
              <w:bottom w:val="single" w:color="000000" w:sz="6" w:space="0"/>
              <w:right w:val="single" w:color="000000" w:sz="6" w:space="0"/>
            </w:tcBorders>
            <w:noWrap w:val="0"/>
            <w:tcMar>
              <w:top w:w="14" w:type="dxa"/>
              <w:left w:w="14" w:type="dxa"/>
              <w:right w:w="14" w:type="dxa"/>
            </w:tcMar>
            <w:vAlign w:val="center"/>
          </w:tcPr>
          <w:p>
            <w:pPr>
              <w:snapToGrid w:val="0"/>
              <w:rPr>
                <w:rFonts w:hint="eastAsia" w:ascii="宋体"/>
                <w:color w:val="333333"/>
                <w:sz w:val="24"/>
              </w:rPr>
            </w:pPr>
          </w:p>
        </w:tc>
        <w:tc>
          <w:tcPr>
            <w:tcW w:w="2708" w:type="dxa"/>
            <w:tcBorders>
              <w:top w:val="single" w:color="000000" w:sz="6" w:space="0"/>
              <w:left w:val="single" w:color="000000" w:sz="6" w:space="0"/>
              <w:bottom w:val="single" w:color="000000" w:sz="6" w:space="0"/>
              <w:right w:val="single" w:color="000000" w:sz="6" w:space="0"/>
            </w:tcBorders>
            <w:noWrap w:val="0"/>
            <w:tcMar>
              <w:top w:w="14" w:type="dxa"/>
              <w:left w:w="14" w:type="dxa"/>
              <w:right w:w="14" w:type="dxa"/>
            </w:tcMar>
            <w:vAlign w:val="center"/>
          </w:tcPr>
          <w:p>
            <w:pPr>
              <w:pStyle w:val="4"/>
              <w:widowControl/>
              <w:snapToGrid w:val="0"/>
              <w:spacing w:before="0" w:beforeAutospacing="0" w:after="0" w:afterAutospacing="0"/>
              <w:rPr>
                <w:rFonts w:hint="eastAsia" w:ascii="方正仿宋_GBK" w:hAnsi="方正仿宋_GBK" w:eastAsia="方正仿宋_GBK" w:cs="方正仿宋_GBK"/>
                <w:color w:val="000000"/>
                <w:sz w:val="20"/>
                <w:szCs w:val="20"/>
              </w:rPr>
            </w:pPr>
          </w:p>
          <w:p>
            <w:pPr>
              <w:pStyle w:val="4"/>
              <w:widowControl/>
              <w:snapToGrid w:val="0"/>
              <w:spacing w:before="0" w:beforeAutospacing="0" w:after="0" w:afterAutospacing="0"/>
              <w:rPr>
                <w:rFonts w:hint="eastAsia" w:ascii="方正仿宋_GBK" w:hAnsi="方正仿宋_GBK" w:eastAsia="方正仿宋_GBK" w:cs="方正仿宋_GBK"/>
                <w:color w:val="000000"/>
                <w:sz w:val="20"/>
                <w:szCs w:val="20"/>
              </w:rPr>
            </w:pPr>
          </w:p>
          <w:p>
            <w:pPr>
              <w:pStyle w:val="4"/>
              <w:widowControl/>
              <w:snapToGrid w:val="0"/>
              <w:spacing w:before="0" w:beforeAutospacing="0" w:after="0" w:afterAutospacing="0"/>
              <w:rPr>
                <w:rFonts w:hint="eastAsia" w:ascii="方正仿宋_GBK" w:hAnsi="方正仿宋_GBK" w:eastAsia="方正仿宋_GBK" w:cs="方正仿宋_GBK"/>
                <w:color w:val="000000"/>
                <w:sz w:val="20"/>
                <w:szCs w:val="20"/>
              </w:rPr>
            </w:pPr>
          </w:p>
          <w:p>
            <w:pPr>
              <w:pStyle w:val="4"/>
              <w:widowControl/>
              <w:snapToGrid w:val="0"/>
              <w:spacing w:before="0" w:beforeAutospacing="0" w:after="0" w:afterAutospacing="0"/>
              <w:rPr>
                <w:sz w:val="31"/>
                <w:szCs w:val="31"/>
              </w:rPr>
            </w:pPr>
            <w:r>
              <w:rPr>
                <w:rFonts w:hint="eastAsia" w:ascii="方正仿宋_GBK" w:hAnsi="方正仿宋_GBK" w:eastAsia="方正仿宋_GBK" w:cs="方正仿宋_GBK"/>
                <w:color w:val="000000"/>
                <w:sz w:val="20"/>
                <w:szCs w:val="20"/>
              </w:rPr>
              <w:t>生产、销售非法添加可能危害人体健康物质的化妆品</w:t>
            </w:r>
          </w:p>
        </w:tc>
        <w:tc>
          <w:tcPr>
            <w:tcW w:w="6559" w:type="dxa"/>
            <w:tcBorders>
              <w:top w:val="single" w:color="000000" w:sz="6" w:space="0"/>
              <w:left w:val="single" w:color="000000" w:sz="6" w:space="0"/>
              <w:bottom w:val="single" w:color="000000" w:sz="6" w:space="0"/>
              <w:right w:val="single" w:color="000000" w:sz="6" w:space="0"/>
            </w:tcBorders>
            <w:noWrap w:val="0"/>
            <w:tcMar>
              <w:top w:w="14" w:type="dxa"/>
              <w:left w:w="14" w:type="dxa"/>
              <w:right w:w="14" w:type="dxa"/>
            </w:tcMar>
            <w:vAlign w:val="center"/>
          </w:tcPr>
          <w:p>
            <w:pPr>
              <w:pStyle w:val="4"/>
              <w:widowControl/>
              <w:snapToGrid w:val="0"/>
              <w:spacing w:before="0" w:beforeAutospacing="0" w:after="0" w:afterAutospacing="0"/>
              <w:rPr>
                <w:rFonts w:hint="eastAsia" w:ascii="方正仿宋_GBK" w:hAnsi="方正仿宋_GBK" w:eastAsia="方正仿宋_GBK" w:cs="方正仿宋_GBK"/>
                <w:color w:val="333333"/>
                <w:sz w:val="20"/>
                <w:szCs w:val="20"/>
                <w:lang w:eastAsia="zh-CN"/>
              </w:rPr>
            </w:pPr>
            <w:r>
              <w:rPr>
                <w:rFonts w:hint="eastAsia" w:ascii="方正仿宋_GBK" w:hAnsi="方正仿宋_GBK" w:eastAsia="方正仿宋_GBK" w:cs="方正仿宋_GBK"/>
                <w:b/>
                <w:bCs/>
                <w:color w:val="000000"/>
                <w:sz w:val="20"/>
                <w:szCs w:val="20"/>
              </w:rPr>
              <w:t>《化妆品监督管理条例》第五十九条</w:t>
            </w:r>
            <w:r>
              <w:rPr>
                <w:rFonts w:hint="eastAsia" w:ascii="方正仿宋_GBK" w:hAnsi="方正仿宋_GBK" w:eastAsia="方正仿宋_GBK" w:cs="方正仿宋_GBK"/>
                <w:color w:val="000000"/>
                <w:sz w:val="20"/>
                <w:szCs w:val="20"/>
              </w:rPr>
              <w:t>：有下列情形之一的，由负责药品监督管理的部门没收违法所得、违法生产经营的化妆品和专门用于违法生产经营的原料、包装材料、工具、设备等物品；违法生产经营的化妆品货值金额不足</w:t>
            </w:r>
            <w:r>
              <w:rPr>
                <w:rFonts w:hint="eastAsia" w:ascii="方正仿宋_GBK" w:hAnsi="方正仿宋_GBK" w:eastAsia="方正仿宋_GBK" w:cs="方正仿宋_GBK"/>
                <w:color w:val="333333"/>
                <w:sz w:val="20"/>
                <w:szCs w:val="20"/>
              </w:rPr>
              <w:t>1万元的，并处5万元以上15万元以下罚款；货值金额1万元以上的，并处货值金额15倍以上30倍以下罚款；情节严重的，责令停产停业、由备案部门取消备案或者由原发证部门吊销化妆品许可证件，10年内不予办理其提出的化妆品备案或者受理其提出的化妆品行政许可申请，对违法单位的法定代表人或者主要负责人、直接负责的主管人员和其他直接责任人员处以其上一年度从本单位取得收入的3倍以上5倍以下罚款，终身禁止其从事化妆品生产经营活动；构成犯罪的，依法追究刑事责任：</w:t>
            </w:r>
          </w:p>
          <w:p>
            <w:pPr>
              <w:pStyle w:val="4"/>
              <w:widowControl/>
              <w:snapToGrid w:val="0"/>
              <w:spacing w:before="0" w:beforeAutospacing="0" w:after="0" w:afterAutospacing="0"/>
              <w:rPr>
                <w:rFonts w:hint="eastAsia" w:ascii="方正仿宋_GBK" w:hAnsi="方正仿宋_GBK" w:eastAsia="方正仿宋_GBK" w:cs="方正仿宋_GBK"/>
                <w:color w:val="333333"/>
                <w:sz w:val="20"/>
                <w:szCs w:val="20"/>
                <w:lang w:val="en-US" w:eastAsia="zh-CN"/>
              </w:rPr>
            </w:pPr>
            <w:r>
              <w:rPr>
                <w:rFonts w:hint="eastAsia" w:ascii="方正仿宋_GBK" w:hAnsi="方正仿宋_GBK" w:eastAsia="方正仿宋_GBK" w:cs="方正仿宋_GBK"/>
                <w:color w:val="333333"/>
                <w:sz w:val="20"/>
                <w:szCs w:val="20"/>
                <w:lang w:val="en-US" w:eastAsia="zh-CN"/>
              </w:rPr>
              <w:t>（一）未经许可从事化妆品生产活动，或者化妆品注册人、备案人委托未取得相应化妆品生产许可的企业生产化妆品；</w:t>
            </w:r>
          </w:p>
          <w:p>
            <w:pPr>
              <w:pStyle w:val="4"/>
              <w:widowControl/>
              <w:snapToGrid w:val="0"/>
              <w:spacing w:before="0" w:beforeAutospacing="0" w:after="0" w:afterAutospacing="0"/>
              <w:rPr>
                <w:rFonts w:hint="eastAsia" w:ascii="方正仿宋_GBK" w:hAnsi="方正仿宋_GBK" w:eastAsia="方正仿宋_GBK" w:cs="方正仿宋_GBK"/>
                <w:color w:val="333333"/>
                <w:sz w:val="20"/>
                <w:szCs w:val="20"/>
                <w:lang w:val="en-US" w:eastAsia="zh-CN"/>
              </w:rPr>
            </w:pPr>
            <w:r>
              <w:rPr>
                <w:rFonts w:hint="eastAsia" w:ascii="方正仿宋_GBK" w:hAnsi="方正仿宋_GBK" w:eastAsia="方正仿宋_GBK" w:cs="方正仿宋_GBK"/>
                <w:color w:val="333333"/>
                <w:sz w:val="20"/>
                <w:szCs w:val="20"/>
                <w:lang w:val="en-US" w:eastAsia="zh-CN"/>
              </w:rPr>
              <w:t>（二）生产经营或者进口未经注册的特殊化妆品；</w:t>
            </w:r>
          </w:p>
          <w:p>
            <w:pPr>
              <w:pStyle w:val="4"/>
              <w:widowControl/>
              <w:snapToGrid w:val="0"/>
              <w:spacing w:before="0" w:beforeAutospacing="0" w:after="0" w:afterAutospacing="0"/>
              <w:rPr>
                <w:rFonts w:hint="eastAsia" w:ascii="方正仿宋_GBK" w:hAnsi="方正仿宋_GBK" w:eastAsia="方正仿宋_GBK" w:cs="方正仿宋_GBK"/>
                <w:color w:val="333333"/>
                <w:sz w:val="20"/>
                <w:szCs w:val="20"/>
                <w:lang w:val="en-US" w:eastAsia="zh-CN"/>
              </w:rPr>
            </w:pPr>
            <w:r>
              <w:rPr>
                <w:rFonts w:hint="eastAsia" w:ascii="方正仿宋_GBK" w:hAnsi="方正仿宋_GBK" w:eastAsia="方正仿宋_GBK" w:cs="方正仿宋_GBK"/>
                <w:color w:val="333333"/>
                <w:sz w:val="20"/>
                <w:szCs w:val="20"/>
                <w:lang w:val="en-US" w:eastAsia="zh-CN"/>
              </w:rPr>
              <w:t>（三）使用禁止用于化妆品生产的原料、应当注册但未经注册的新原料生产化妆品，在化妆品中非法添加可能危害人体健康的物质，或者使用超过使用期限、废弃、回收的化妆品或者原料生产化妆品。</w:t>
            </w:r>
          </w:p>
          <w:p>
            <w:pPr>
              <w:pStyle w:val="4"/>
              <w:widowControl/>
              <w:snapToGrid w:val="0"/>
              <w:spacing w:before="0" w:beforeAutospacing="0" w:after="0" w:afterAutospacing="0"/>
              <w:rPr>
                <w:rFonts w:hint="eastAsia" w:ascii="方正仿宋_GBK" w:hAnsi="方正仿宋_GBK" w:eastAsia="方正仿宋_GBK" w:cs="方正仿宋_GBK"/>
                <w:color w:val="333333"/>
                <w:sz w:val="20"/>
                <w:szCs w:val="20"/>
                <w:lang w:val="en-US" w:eastAsia="zh-CN"/>
              </w:rPr>
            </w:pPr>
            <w:r>
              <w:rPr>
                <w:rFonts w:hint="eastAsia" w:ascii="方正仿宋_GBK" w:hAnsi="方正仿宋_GBK" w:eastAsia="方正仿宋_GBK" w:cs="方正仿宋_GBK"/>
                <w:b/>
                <w:bCs/>
                <w:color w:val="333333"/>
                <w:sz w:val="20"/>
                <w:szCs w:val="20"/>
                <w:lang w:val="en-US" w:eastAsia="zh-CN"/>
              </w:rPr>
              <w:t>第六十条</w:t>
            </w:r>
            <w:r>
              <w:rPr>
                <w:rFonts w:hint="eastAsia" w:ascii="方正仿宋_GBK" w:hAnsi="方正仿宋_GBK" w:eastAsia="方正仿宋_GBK" w:cs="方正仿宋_GBK"/>
                <w:color w:val="333333"/>
                <w:sz w:val="20"/>
                <w:szCs w:val="20"/>
                <w:lang w:val="en-US" w:eastAsia="zh-CN"/>
              </w:rPr>
              <w:t>　有下列情形之一的，由负责药品监督管理的部门没收违法所得、违法生产经营的化妆品和专门用于违法生产经营的原料、包装材料、工具、设备等物品；违法生产经营的化妆品货值金额不足1万元的，并处1万元以上5万元以下罚款；货值金额1万元以上的，并处货值金额5倍以上20倍以下罚款；情节严重的，责令停产停业、由备案部门取消备案或者由原发证部门吊销化妆品许可证件，对违法单位的法定代表人或者主要负责人、直接负责的主管人员和其他直接责任人员处以其上一年度从本单位取得收入的1倍以上3倍以下罚款，10年内禁止其从事化妆品生产经营活动；构成犯罪的，依法追究刑事责任：</w:t>
            </w:r>
          </w:p>
          <w:p>
            <w:pPr>
              <w:pStyle w:val="4"/>
              <w:widowControl/>
              <w:snapToGrid w:val="0"/>
              <w:spacing w:before="0" w:beforeAutospacing="0" w:after="0" w:afterAutospacing="0"/>
              <w:rPr>
                <w:rFonts w:hint="eastAsia" w:ascii="方正仿宋_GBK" w:hAnsi="方正仿宋_GBK" w:eastAsia="方正仿宋_GBK" w:cs="方正仿宋_GBK"/>
                <w:color w:val="333333"/>
                <w:sz w:val="20"/>
                <w:szCs w:val="20"/>
                <w:lang w:val="en-US" w:eastAsia="zh-CN"/>
              </w:rPr>
            </w:pPr>
            <w:r>
              <w:rPr>
                <w:rFonts w:hint="eastAsia" w:ascii="方正仿宋_GBK" w:hAnsi="方正仿宋_GBK" w:eastAsia="方正仿宋_GBK" w:cs="方正仿宋_GBK"/>
                <w:color w:val="333333"/>
                <w:sz w:val="20"/>
                <w:szCs w:val="20"/>
                <w:lang w:val="en-US" w:eastAsia="zh-CN"/>
              </w:rPr>
              <w:t>（一）使用不符合强制性国家标准、技术规范的原料、直接接触化妆品的包装材料，应当备案但未备案的新原料生产化妆品，或者不按照强制性国家标准或者技术规范使用原料；</w:t>
            </w:r>
          </w:p>
          <w:p>
            <w:pPr>
              <w:pStyle w:val="4"/>
              <w:widowControl/>
              <w:snapToGrid w:val="0"/>
              <w:spacing w:before="0" w:beforeAutospacing="0" w:after="0" w:afterAutospacing="0"/>
              <w:rPr>
                <w:rFonts w:hint="eastAsia" w:ascii="方正仿宋_GBK" w:hAnsi="方正仿宋_GBK" w:eastAsia="方正仿宋_GBK" w:cs="方正仿宋_GBK"/>
                <w:color w:val="333333"/>
                <w:sz w:val="20"/>
                <w:szCs w:val="20"/>
                <w:lang w:val="en-US" w:eastAsia="zh-CN"/>
              </w:rPr>
            </w:pPr>
            <w:r>
              <w:rPr>
                <w:rFonts w:hint="eastAsia" w:ascii="方正仿宋_GBK" w:hAnsi="方正仿宋_GBK" w:eastAsia="方正仿宋_GBK" w:cs="方正仿宋_GBK"/>
                <w:color w:val="333333"/>
                <w:sz w:val="20"/>
                <w:szCs w:val="20"/>
                <w:lang w:val="en-US" w:eastAsia="zh-CN"/>
              </w:rPr>
              <w:t>（二）生产经营不符合强制性国家标准、技术规范或者不符合化妆品注册、备案资料载明的技术要求的化妆品；</w:t>
            </w:r>
          </w:p>
          <w:p>
            <w:pPr>
              <w:pStyle w:val="4"/>
              <w:widowControl/>
              <w:snapToGrid w:val="0"/>
              <w:spacing w:before="0" w:beforeAutospacing="0" w:after="0" w:afterAutospacing="0"/>
              <w:rPr>
                <w:rFonts w:hint="eastAsia" w:ascii="方正仿宋_GBK" w:hAnsi="方正仿宋_GBK" w:eastAsia="方正仿宋_GBK" w:cs="方正仿宋_GBK"/>
                <w:color w:val="333333"/>
                <w:sz w:val="20"/>
                <w:szCs w:val="20"/>
                <w:lang w:val="en-US" w:eastAsia="zh-CN"/>
              </w:rPr>
            </w:pPr>
            <w:r>
              <w:rPr>
                <w:rFonts w:hint="eastAsia" w:ascii="方正仿宋_GBK" w:hAnsi="方正仿宋_GBK" w:eastAsia="方正仿宋_GBK" w:cs="方正仿宋_GBK"/>
                <w:color w:val="333333"/>
                <w:sz w:val="20"/>
                <w:szCs w:val="20"/>
                <w:lang w:val="en-US" w:eastAsia="zh-CN"/>
              </w:rPr>
              <w:t>（三）未按照化妆品生产质量管理规范的要求组织生产；</w:t>
            </w:r>
          </w:p>
          <w:p>
            <w:pPr>
              <w:pStyle w:val="4"/>
              <w:widowControl/>
              <w:snapToGrid w:val="0"/>
              <w:spacing w:before="0" w:beforeAutospacing="0" w:after="0" w:afterAutospacing="0"/>
              <w:rPr>
                <w:rFonts w:hint="eastAsia" w:ascii="方正仿宋_GBK" w:hAnsi="方正仿宋_GBK" w:eastAsia="方正仿宋_GBK" w:cs="方正仿宋_GBK"/>
                <w:color w:val="333333"/>
                <w:sz w:val="20"/>
                <w:szCs w:val="20"/>
                <w:lang w:val="en-US" w:eastAsia="zh-CN"/>
              </w:rPr>
            </w:pPr>
            <w:r>
              <w:rPr>
                <w:rFonts w:hint="eastAsia" w:ascii="方正仿宋_GBK" w:hAnsi="方正仿宋_GBK" w:eastAsia="方正仿宋_GBK" w:cs="方正仿宋_GBK"/>
                <w:color w:val="333333"/>
                <w:sz w:val="20"/>
                <w:szCs w:val="20"/>
                <w:lang w:val="en-US" w:eastAsia="zh-CN"/>
              </w:rPr>
              <w:t>（四）更改化妆品使用期限；</w:t>
            </w:r>
          </w:p>
          <w:p>
            <w:pPr>
              <w:pStyle w:val="4"/>
              <w:widowControl/>
              <w:snapToGrid w:val="0"/>
              <w:spacing w:before="0" w:beforeAutospacing="0" w:after="0" w:afterAutospacing="0"/>
              <w:rPr>
                <w:rFonts w:hint="eastAsia" w:ascii="方正仿宋_GBK" w:hAnsi="方正仿宋_GBK" w:eastAsia="方正仿宋_GBK" w:cs="方正仿宋_GBK"/>
                <w:color w:val="333333"/>
                <w:sz w:val="20"/>
                <w:szCs w:val="20"/>
                <w:lang w:val="en-US" w:eastAsia="zh-CN"/>
              </w:rPr>
            </w:pPr>
            <w:r>
              <w:rPr>
                <w:rFonts w:hint="eastAsia" w:ascii="方正仿宋_GBK" w:hAnsi="方正仿宋_GBK" w:eastAsia="方正仿宋_GBK" w:cs="方正仿宋_GBK"/>
                <w:color w:val="333333"/>
                <w:sz w:val="20"/>
                <w:szCs w:val="20"/>
                <w:lang w:val="en-US" w:eastAsia="zh-CN"/>
              </w:rPr>
              <w:t>（五）化妆品经营者擅自配制化妆品，或者经营变质、超过使用期限的化妆品；</w:t>
            </w:r>
          </w:p>
          <w:p>
            <w:pPr>
              <w:pStyle w:val="4"/>
              <w:widowControl/>
              <w:snapToGrid w:val="0"/>
              <w:spacing w:before="0" w:beforeAutospacing="0" w:after="0" w:afterAutospacing="0"/>
              <w:rPr>
                <w:rFonts w:hint="eastAsia"/>
                <w:sz w:val="24"/>
                <w:szCs w:val="24"/>
                <w:lang w:val="en-US" w:eastAsia="zh-CN"/>
              </w:rPr>
            </w:pPr>
            <w:r>
              <w:rPr>
                <w:rFonts w:hint="eastAsia" w:ascii="方正仿宋_GBK" w:hAnsi="方正仿宋_GBK" w:eastAsia="方正仿宋_GBK" w:cs="方正仿宋_GBK"/>
                <w:color w:val="333333"/>
                <w:sz w:val="20"/>
                <w:szCs w:val="20"/>
                <w:lang w:val="en-US" w:eastAsia="zh-CN"/>
              </w:rPr>
              <w:t>（六）在负责药品监督管理的部门责令其实施召回后拒不召回，或者在负责药品监督管理的部门责令停止或者暂停生产、经营后拒不停止或者暂停生产、经营。</w:t>
            </w:r>
          </w:p>
          <w:p>
            <w:pPr>
              <w:pStyle w:val="4"/>
              <w:widowControl/>
              <w:snapToGrid w:val="0"/>
              <w:spacing w:before="0" w:beforeAutospacing="0" w:after="0" w:afterAutospacing="0"/>
              <w:rPr>
                <w:rFonts w:hint="eastAsia" w:ascii="方正仿宋_GBK" w:hAnsi="方正仿宋_GBK" w:eastAsia="方正仿宋_GBK" w:cs="方正仿宋_GBK"/>
                <w:color w:val="333333"/>
                <w:sz w:val="20"/>
                <w:szCs w:val="20"/>
                <w:lang w:val="en-US" w:eastAsia="zh-CN"/>
              </w:rPr>
            </w:pPr>
            <w:r>
              <w:rPr>
                <w:rFonts w:hint="eastAsia" w:ascii="方正仿宋_GBK" w:hAnsi="方正仿宋_GBK" w:eastAsia="方正仿宋_GBK" w:cs="方正仿宋_GBK"/>
                <w:b/>
                <w:bCs/>
                <w:color w:val="333333"/>
                <w:sz w:val="20"/>
                <w:szCs w:val="20"/>
                <w:lang w:val="en-US" w:eastAsia="zh-CN"/>
              </w:rPr>
              <w:t>第六十一条</w:t>
            </w:r>
            <w:r>
              <w:rPr>
                <w:rFonts w:hint="eastAsia" w:ascii="方正仿宋_GBK" w:hAnsi="方正仿宋_GBK" w:eastAsia="方正仿宋_GBK" w:cs="方正仿宋_GBK"/>
                <w:color w:val="333333"/>
                <w:sz w:val="20"/>
                <w:szCs w:val="20"/>
                <w:lang w:val="en-US" w:eastAsia="zh-CN"/>
              </w:rPr>
              <w:t>　有下列情形之一的，由负责药品监督管理的部门没收违法所得、违法生产经营的化妆品，并可以没收专门用于违法生产经营的原料、包装材料、工具、设备等物品；违法生产经营的化妆品货值金额不足1万元的，并处1万元以上3万元以下罚款；货值金额1万元以上的，并处货值金额3倍以上10倍以下罚款；情节严重的，责令停产停业、由备案部门取消备案或者由原发证部门吊销化妆品许可证件，对违法单位的法定代表人或者主要负责人、直接负责的主管人员和其他直接责任人员处以其上一年度从本单位取得收入的1倍以上2倍以下罚款，5年内禁止其从事化妆品生产经营活动：</w:t>
            </w:r>
          </w:p>
          <w:p>
            <w:pPr>
              <w:pStyle w:val="4"/>
              <w:widowControl/>
              <w:snapToGrid w:val="0"/>
              <w:spacing w:before="0" w:beforeAutospacing="0" w:after="0" w:afterAutospacing="0"/>
              <w:rPr>
                <w:rFonts w:hint="eastAsia" w:ascii="方正仿宋_GBK" w:hAnsi="方正仿宋_GBK" w:eastAsia="方正仿宋_GBK" w:cs="方正仿宋_GBK"/>
                <w:color w:val="333333"/>
                <w:sz w:val="20"/>
                <w:szCs w:val="20"/>
                <w:lang w:val="en-US" w:eastAsia="zh-CN"/>
              </w:rPr>
            </w:pPr>
            <w:r>
              <w:rPr>
                <w:rFonts w:hint="eastAsia" w:ascii="方正仿宋_GBK" w:hAnsi="方正仿宋_GBK" w:eastAsia="方正仿宋_GBK" w:cs="方正仿宋_GBK"/>
                <w:color w:val="333333"/>
                <w:sz w:val="20"/>
                <w:szCs w:val="20"/>
                <w:lang w:val="en-US" w:eastAsia="zh-CN"/>
              </w:rPr>
              <w:t>（一）上市销售、经营或者进口未备案的普通化妆品；</w:t>
            </w:r>
          </w:p>
          <w:p>
            <w:pPr>
              <w:pStyle w:val="4"/>
              <w:widowControl/>
              <w:snapToGrid w:val="0"/>
              <w:spacing w:before="0" w:beforeAutospacing="0" w:after="0" w:afterAutospacing="0"/>
              <w:rPr>
                <w:rFonts w:hint="eastAsia" w:ascii="方正仿宋_GBK" w:hAnsi="方正仿宋_GBK" w:eastAsia="方正仿宋_GBK" w:cs="方正仿宋_GBK"/>
                <w:color w:val="333333"/>
                <w:sz w:val="20"/>
                <w:szCs w:val="20"/>
                <w:lang w:val="en-US" w:eastAsia="zh-CN"/>
              </w:rPr>
            </w:pPr>
            <w:r>
              <w:rPr>
                <w:rFonts w:hint="eastAsia" w:ascii="方正仿宋_GBK" w:hAnsi="方正仿宋_GBK" w:eastAsia="方正仿宋_GBK" w:cs="方正仿宋_GBK"/>
                <w:color w:val="333333"/>
                <w:sz w:val="20"/>
                <w:szCs w:val="20"/>
                <w:lang w:val="en-US" w:eastAsia="zh-CN"/>
              </w:rPr>
              <w:t>（二）未依照本条例规定设质量安全负责人；</w:t>
            </w:r>
          </w:p>
          <w:p>
            <w:pPr>
              <w:pStyle w:val="4"/>
              <w:widowControl/>
              <w:snapToGrid w:val="0"/>
              <w:spacing w:before="0" w:beforeAutospacing="0" w:after="0" w:afterAutospacing="0"/>
              <w:rPr>
                <w:rFonts w:hint="eastAsia" w:ascii="方正仿宋_GBK" w:hAnsi="方正仿宋_GBK" w:eastAsia="方正仿宋_GBK" w:cs="方正仿宋_GBK"/>
                <w:color w:val="333333"/>
                <w:sz w:val="20"/>
                <w:szCs w:val="20"/>
                <w:lang w:val="en-US" w:eastAsia="zh-CN"/>
              </w:rPr>
            </w:pPr>
            <w:r>
              <w:rPr>
                <w:rFonts w:hint="eastAsia" w:ascii="方正仿宋_GBK" w:hAnsi="方正仿宋_GBK" w:eastAsia="方正仿宋_GBK" w:cs="方正仿宋_GBK"/>
                <w:color w:val="333333"/>
                <w:sz w:val="20"/>
                <w:szCs w:val="20"/>
                <w:lang w:val="en-US" w:eastAsia="zh-CN"/>
              </w:rPr>
              <w:t>（三）化妆品注册人、备案人未对受托生产企业的生产活动进行监督；</w:t>
            </w:r>
          </w:p>
          <w:p>
            <w:pPr>
              <w:pStyle w:val="4"/>
              <w:widowControl/>
              <w:snapToGrid w:val="0"/>
              <w:spacing w:before="0" w:beforeAutospacing="0" w:after="0" w:afterAutospacing="0"/>
              <w:rPr>
                <w:rFonts w:hint="eastAsia" w:ascii="方正仿宋_GBK" w:hAnsi="方正仿宋_GBK" w:eastAsia="方正仿宋_GBK" w:cs="方正仿宋_GBK"/>
                <w:color w:val="333333"/>
                <w:sz w:val="20"/>
                <w:szCs w:val="20"/>
                <w:lang w:val="en-US" w:eastAsia="zh-CN"/>
              </w:rPr>
            </w:pPr>
            <w:r>
              <w:rPr>
                <w:rFonts w:hint="eastAsia" w:ascii="方正仿宋_GBK" w:hAnsi="方正仿宋_GBK" w:eastAsia="方正仿宋_GBK" w:cs="方正仿宋_GBK"/>
                <w:color w:val="333333"/>
                <w:sz w:val="20"/>
                <w:szCs w:val="20"/>
                <w:lang w:val="en-US" w:eastAsia="zh-CN"/>
              </w:rPr>
              <w:t>（四）未依照本条例规定建立并执行从业人员健康管理制度；</w:t>
            </w:r>
          </w:p>
          <w:p>
            <w:pPr>
              <w:pStyle w:val="4"/>
              <w:widowControl/>
              <w:snapToGrid w:val="0"/>
              <w:spacing w:before="0" w:beforeAutospacing="0" w:after="0" w:afterAutospacing="0"/>
              <w:rPr>
                <w:rFonts w:hint="eastAsia" w:ascii="方正仿宋_GBK" w:hAnsi="方正仿宋_GBK" w:eastAsia="方正仿宋_GBK" w:cs="方正仿宋_GBK"/>
                <w:color w:val="333333"/>
                <w:sz w:val="20"/>
                <w:szCs w:val="20"/>
                <w:lang w:val="en-US" w:eastAsia="zh-CN"/>
              </w:rPr>
            </w:pPr>
            <w:r>
              <w:rPr>
                <w:rFonts w:hint="eastAsia" w:ascii="方正仿宋_GBK" w:hAnsi="方正仿宋_GBK" w:eastAsia="方正仿宋_GBK" w:cs="方正仿宋_GBK"/>
                <w:color w:val="333333"/>
                <w:sz w:val="20"/>
                <w:szCs w:val="20"/>
                <w:lang w:val="en-US" w:eastAsia="zh-CN"/>
              </w:rPr>
              <w:t>（五）生产经营标签不符合本条例规定的化妆品。</w:t>
            </w:r>
          </w:p>
          <w:p>
            <w:pPr>
              <w:pStyle w:val="4"/>
              <w:widowControl/>
              <w:snapToGrid w:val="0"/>
              <w:spacing w:before="0" w:beforeAutospacing="0" w:after="0" w:afterAutospacing="0"/>
              <w:rPr>
                <w:rFonts w:hint="eastAsia" w:ascii="方正仿宋_GBK" w:hAnsi="方正仿宋_GBK" w:eastAsia="方正仿宋_GBK" w:cs="方正仿宋_GBK"/>
                <w:color w:val="333333"/>
                <w:sz w:val="20"/>
                <w:szCs w:val="20"/>
                <w:lang w:val="en-US" w:eastAsia="zh-CN"/>
              </w:rPr>
            </w:pPr>
            <w:r>
              <w:rPr>
                <w:rFonts w:hint="eastAsia" w:ascii="方正仿宋_GBK" w:hAnsi="方正仿宋_GBK" w:eastAsia="方正仿宋_GBK" w:cs="方正仿宋_GBK"/>
                <w:color w:val="333333"/>
                <w:sz w:val="20"/>
                <w:szCs w:val="20"/>
                <w:lang w:val="en-US" w:eastAsia="zh-CN"/>
              </w:rPr>
              <w:t>生产经营的化妆品的标签存在瑕疵但不影响质量安全且不会对消费者造成误导的，由负责药品监督管理的部门责令改正；拒不改正的，处2000元以下罚款。</w:t>
            </w:r>
          </w:p>
          <w:p>
            <w:pPr>
              <w:pStyle w:val="4"/>
              <w:widowControl/>
              <w:snapToGrid w:val="0"/>
              <w:spacing w:before="0" w:beforeAutospacing="0" w:after="0" w:afterAutospacing="0"/>
              <w:rPr>
                <w:rFonts w:hint="eastAsia" w:ascii="方正仿宋_GBK" w:hAnsi="方正仿宋_GBK" w:eastAsia="方正仿宋_GBK" w:cs="方正仿宋_GBK"/>
                <w:color w:val="333333"/>
                <w:sz w:val="20"/>
                <w:szCs w:val="20"/>
                <w:lang w:val="en-US" w:eastAsia="zh-CN"/>
              </w:rPr>
            </w:pPr>
            <w:r>
              <w:rPr>
                <w:rFonts w:hint="eastAsia" w:ascii="方正仿宋_GBK" w:hAnsi="方正仿宋_GBK" w:eastAsia="方正仿宋_GBK" w:cs="方正仿宋_GBK"/>
                <w:b/>
                <w:bCs/>
                <w:color w:val="333333"/>
                <w:sz w:val="20"/>
                <w:szCs w:val="20"/>
                <w:lang w:val="en-US" w:eastAsia="zh-CN"/>
              </w:rPr>
              <w:t>《化妆品监督管理条例》第六十四条</w:t>
            </w:r>
            <w:r>
              <w:rPr>
                <w:rFonts w:hint="eastAsia" w:ascii="方正仿宋_GBK" w:hAnsi="方正仿宋_GBK" w:eastAsia="方正仿宋_GBK" w:cs="方正仿宋_GBK"/>
                <w:color w:val="333333"/>
                <w:sz w:val="20"/>
                <w:szCs w:val="20"/>
                <w:lang w:val="en-US" w:eastAsia="zh-CN"/>
              </w:rPr>
              <w:t>　在申请化妆品行政许可时提供虚假资料或者采取其他欺骗手段的，不予行政许可，已经取得行政许可的，由作出行政许可决定的部门撤销行政许可，5年内不受理其提出的化妆品相关许可申请，没收违法所得和已经生产、进口的化妆品；已经生产、进口的化妆品货值金额不足1万元的，并处5万元以上15万元以下罚款；货值金额1万元以上的，并处货值金额15倍以上30倍以下罚款；对违法单位的法定代表人或者主要负责人、直接负责的主管人员和其他直接责任人员处以其上一年度从本单位取得收入的3倍以上5倍以下罚款，终身禁止其从事化妆品生产经营活动。</w:t>
            </w:r>
          </w:p>
          <w:p>
            <w:pPr>
              <w:pStyle w:val="4"/>
              <w:widowControl/>
              <w:snapToGrid w:val="0"/>
              <w:spacing w:before="0" w:beforeAutospacing="0" w:after="0" w:afterAutospacing="0"/>
              <w:rPr>
                <w:rFonts w:hint="eastAsia" w:ascii="方正仿宋_GBK" w:hAnsi="方正仿宋_GBK" w:eastAsia="方正仿宋_GBK" w:cs="方正仿宋_GBK"/>
                <w:color w:val="333333"/>
                <w:sz w:val="20"/>
                <w:szCs w:val="20"/>
                <w:lang w:val="en-US" w:eastAsia="zh-CN"/>
              </w:rPr>
            </w:pPr>
            <w:r>
              <w:rPr>
                <w:rFonts w:hint="eastAsia" w:ascii="方正仿宋_GBK" w:hAnsi="方正仿宋_GBK" w:eastAsia="方正仿宋_GBK" w:cs="方正仿宋_GBK"/>
                <w:color w:val="333333"/>
                <w:sz w:val="20"/>
                <w:szCs w:val="20"/>
                <w:lang w:val="en-US" w:eastAsia="zh-CN"/>
              </w:rPr>
              <w:t>伪造、变造、出租、出借或者转让化妆品许可证件的，由负责药品监督管理的部门或者原发证部门予以收缴或者吊销，没收违法所得；违法所得不足1万元的，并处5万元以上10万元以下罚款；违法所得1万元以上的，并处违法所得10倍以上20倍以下罚款；构成违反治安管理行为的，由公安机关依法给予治安管理处罚；构成犯罪的，依法追究刑事责任。</w:t>
            </w:r>
          </w:p>
          <w:p>
            <w:pPr>
              <w:pStyle w:val="4"/>
              <w:widowControl/>
              <w:snapToGrid w:val="0"/>
              <w:spacing w:before="0" w:beforeAutospacing="0" w:after="0" w:afterAutospacing="0"/>
              <w:rPr>
                <w:rFonts w:hint="eastAsia" w:ascii="方正仿宋_GBK" w:hAnsi="方正仿宋_GBK" w:eastAsia="方正仿宋_GBK" w:cs="方正仿宋_GBK"/>
                <w:color w:val="333333"/>
                <w:sz w:val="20"/>
                <w:szCs w:val="20"/>
                <w:lang w:val="en-US" w:eastAsia="zh-CN"/>
              </w:rPr>
            </w:pPr>
            <w:r>
              <w:rPr>
                <w:rFonts w:hint="eastAsia" w:ascii="方正仿宋_GBK" w:hAnsi="方正仿宋_GBK" w:eastAsia="方正仿宋_GBK" w:cs="方正仿宋_GBK"/>
                <w:b/>
                <w:bCs/>
                <w:color w:val="333333"/>
                <w:sz w:val="20"/>
                <w:szCs w:val="20"/>
                <w:lang w:val="en-US" w:eastAsia="zh-CN"/>
              </w:rPr>
              <w:t>《化妆品监督管理条例》第六十五条</w:t>
            </w:r>
            <w:r>
              <w:rPr>
                <w:rFonts w:hint="eastAsia" w:ascii="方正仿宋_GBK" w:hAnsi="方正仿宋_GBK" w:eastAsia="方正仿宋_GBK" w:cs="方正仿宋_GBK"/>
                <w:color w:val="333333"/>
                <w:sz w:val="20"/>
                <w:szCs w:val="20"/>
                <w:lang w:val="en-US" w:eastAsia="zh-CN"/>
              </w:rPr>
              <w:t>　备案时提供虚假资料的，由备案部门取消备案，3年内不予办理其提出的该项备案，没收违法所得和已经生产、进口的化妆品；已经生产、进口的化妆品货值金额不足1万元的，并处1万元以上3万元以下罚款；货值金额1万元以上的，并处货值金额3倍以上10倍以下罚款；情节严重的，责令停产停业直至由原发证部门吊销化妆品生产许可证，对违法单位的法定代表人或者主要负责人、直接负责的主管人员和其他直接责任人员处以其上一年度从本单位取得收入的1倍以上2倍以下罚款，5年内禁止其从事化妆品生产经营活动。已经备案的资料不符合要求的，由备案部门责令限期改正，其中，与化妆品、化妆品新原料安全性有关的备案资料不符合要求的，备案部门可以同时责令暂停销售、使用；逾期不改正的，由备案部门取消备案。备案部门取消备案后，仍然使用该化妆品新原料生产化妆品或者仍然上市销售、进口该普通化妆品的，分别依照本条例第六十条、第六十一条的规定给予处罚。</w:t>
            </w:r>
          </w:p>
          <w:p>
            <w:pPr>
              <w:pStyle w:val="4"/>
              <w:widowControl/>
              <w:snapToGrid w:val="0"/>
              <w:spacing w:before="0" w:beforeAutospacing="0" w:after="0" w:afterAutospacing="0"/>
              <w:rPr>
                <w:rFonts w:hint="eastAsia" w:ascii="方正仿宋_GBK" w:hAnsi="方正仿宋_GBK" w:eastAsia="方正仿宋_GBK" w:cs="方正仿宋_GBK"/>
                <w:color w:val="333333"/>
                <w:sz w:val="20"/>
                <w:szCs w:val="20"/>
                <w:lang w:val="en-US" w:eastAsia="zh-CN"/>
              </w:rPr>
            </w:pPr>
            <w:r>
              <w:rPr>
                <w:rFonts w:hint="eastAsia" w:ascii="方正仿宋_GBK" w:hAnsi="方正仿宋_GBK" w:eastAsia="方正仿宋_GBK" w:cs="方正仿宋_GBK"/>
                <w:b/>
                <w:bCs/>
                <w:color w:val="333333"/>
                <w:sz w:val="20"/>
                <w:szCs w:val="20"/>
                <w:lang w:val="en-US" w:eastAsia="zh-CN"/>
              </w:rPr>
              <w:t>《化妆品监督管理条例》第七十条</w:t>
            </w:r>
            <w:r>
              <w:rPr>
                <w:rFonts w:hint="eastAsia" w:ascii="方正仿宋_GBK" w:hAnsi="方正仿宋_GBK" w:eastAsia="方正仿宋_GBK" w:cs="方正仿宋_GBK"/>
                <w:color w:val="333333"/>
                <w:sz w:val="20"/>
                <w:szCs w:val="20"/>
                <w:lang w:val="en-US" w:eastAsia="zh-CN"/>
              </w:rPr>
              <w:t>　境外化妆品注册人、备案人指定的在我国境内的企业法人未协助开展化妆品不良反应监测、实施产品召回的，由省、自治区、直辖市人民政府药品监督管理部门责令改正，给予警告，并处2万元以上10万元以下罚款；情节严重的，处10万元以上50万元以下罚款，5年内禁止其法定代表人或者主要负责人、直接负责的主管人员和其他直接责任人员从事化妆品生产经营活动。</w:t>
            </w:r>
          </w:p>
          <w:p>
            <w:pPr>
              <w:pStyle w:val="4"/>
              <w:widowControl/>
              <w:snapToGrid w:val="0"/>
              <w:spacing w:before="0" w:beforeAutospacing="0" w:after="0" w:afterAutospacing="0"/>
              <w:rPr>
                <w:rFonts w:hint="eastAsia" w:ascii="方正仿宋_GBK" w:hAnsi="方正仿宋_GBK" w:eastAsia="方正仿宋_GBK" w:cs="方正仿宋_GBK"/>
                <w:color w:val="333333"/>
                <w:sz w:val="20"/>
                <w:szCs w:val="20"/>
                <w:lang w:eastAsia="zh-CN"/>
              </w:rPr>
            </w:pPr>
            <w:r>
              <w:rPr>
                <w:rFonts w:hint="eastAsia" w:ascii="方正仿宋_GBK" w:hAnsi="方正仿宋_GBK" w:eastAsia="方正仿宋_GBK" w:cs="方正仿宋_GBK"/>
                <w:color w:val="333333"/>
                <w:sz w:val="20"/>
                <w:szCs w:val="20"/>
                <w:lang w:val="en-US" w:eastAsia="zh-CN"/>
              </w:rPr>
              <w:t>境外化妆品注册人、备案人拒不履行依据本条例作出的行政处罚决定的，10年内禁止其化妆品进口。</w:t>
            </w:r>
          </w:p>
          <w:p>
            <w:pPr>
              <w:pStyle w:val="4"/>
              <w:widowControl/>
              <w:snapToGrid w:val="0"/>
              <w:spacing w:before="0" w:beforeAutospacing="0" w:after="0" w:afterAutospacing="0"/>
              <w:rPr>
                <w:rFonts w:hint="eastAsia" w:eastAsia="方正仿宋_GBK"/>
                <w:sz w:val="31"/>
                <w:szCs w:val="31"/>
                <w:lang w:eastAsia="zh-CN"/>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380" w:type="dxa"/>
            <w:vMerge w:val="continue"/>
            <w:tcBorders>
              <w:top w:val="single" w:color="000000" w:sz="6" w:space="0"/>
              <w:left w:val="single" w:color="000000" w:sz="6" w:space="0"/>
              <w:bottom w:val="single" w:color="000000" w:sz="6" w:space="0"/>
              <w:right w:val="single" w:color="000000" w:sz="6" w:space="0"/>
            </w:tcBorders>
            <w:noWrap w:val="0"/>
            <w:tcMar>
              <w:top w:w="14" w:type="dxa"/>
              <w:left w:w="14" w:type="dxa"/>
              <w:right w:w="14" w:type="dxa"/>
            </w:tcMar>
            <w:vAlign w:val="center"/>
          </w:tcPr>
          <w:p>
            <w:pPr>
              <w:snapToGrid w:val="0"/>
              <w:rPr>
                <w:rFonts w:hint="eastAsia" w:ascii="宋体"/>
                <w:color w:val="333333"/>
                <w:sz w:val="24"/>
              </w:rPr>
            </w:pPr>
          </w:p>
        </w:tc>
        <w:tc>
          <w:tcPr>
            <w:tcW w:w="553" w:type="dxa"/>
            <w:vMerge w:val="continue"/>
            <w:tcBorders>
              <w:top w:val="single" w:color="000000" w:sz="6" w:space="0"/>
              <w:left w:val="single" w:color="000000" w:sz="6" w:space="0"/>
              <w:bottom w:val="single" w:color="000000" w:sz="6" w:space="0"/>
              <w:right w:val="single" w:color="000000" w:sz="6" w:space="0"/>
            </w:tcBorders>
            <w:noWrap w:val="0"/>
            <w:tcMar>
              <w:top w:w="14" w:type="dxa"/>
              <w:left w:w="14" w:type="dxa"/>
              <w:right w:w="14" w:type="dxa"/>
            </w:tcMar>
            <w:vAlign w:val="center"/>
          </w:tcPr>
          <w:p>
            <w:pPr>
              <w:snapToGrid w:val="0"/>
              <w:rPr>
                <w:rFonts w:hint="eastAsia" w:ascii="宋体"/>
                <w:color w:val="333333"/>
                <w:sz w:val="24"/>
              </w:rPr>
            </w:pPr>
          </w:p>
        </w:tc>
        <w:tc>
          <w:tcPr>
            <w:tcW w:w="2708" w:type="dxa"/>
            <w:tcBorders>
              <w:top w:val="single" w:color="000000" w:sz="6" w:space="0"/>
              <w:left w:val="single" w:color="000000" w:sz="6" w:space="0"/>
              <w:bottom w:val="single" w:color="000000" w:sz="6" w:space="0"/>
              <w:right w:val="single" w:color="000000" w:sz="6" w:space="0"/>
            </w:tcBorders>
            <w:noWrap w:val="0"/>
            <w:tcMar>
              <w:top w:w="14" w:type="dxa"/>
              <w:left w:w="14" w:type="dxa"/>
              <w:right w:w="14" w:type="dxa"/>
            </w:tcMar>
            <w:vAlign w:val="center"/>
          </w:tcPr>
          <w:p>
            <w:pPr>
              <w:pStyle w:val="4"/>
              <w:widowControl/>
              <w:snapToGrid w:val="0"/>
              <w:spacing w:before="0" w:beforeAutospacing="0" w:after="0" w:afterAutospacing="0"/>
              <w:rPr>
                <w:sz w:val="31"/>
                <w:szCs w:val="31"/>
              </w:rPr>
            </w:pPr>
            <w:r>
              <w:rPr>
                <w:rFonts w:hint="eastAsia" w:ascii="方正仿宋_GBK" w:hAnsi="方正仿宋_GBK" w:eastAsia="方正仿宋_GBK" w:cs="方正仿宋_GBK"/>
                <w:color w:val="000000"/>
                <w:sz w:val="20"/>
                <w:szCs w:val="20"/>
              </w:rPr>
              <w:t>其他违反药品、医疗器械、化妆品法律、行政法规规定，严重危害人民群众身体健康和生命安全的违法行为。</w:t>
            </w:r>
          </w:p>
        </w:tc>
        <w:tc>
          <w:tcPr>
            <w:tcW w:w="6559" w:type="dxa"/>
            <w:tcBorders>
              <w:top w:val="single" w:color="000000" w:sz="6" w:space="0"/>
              <w:left w:val="single" w:color="000000" w:sz="6" w:space="0"/>
              <w:bottom w:val="single" w:color="000000" w:sz="6" w:space="0"/>
              <w:right w:val="single" w:color="000000" w:sz="6" w:space="0"/>
            </w:tcBorders>
            <w:noWrap w:val="0"/>
            <w:tcMar>
              <w:top w:w="14" w:type="dxa"/>
              <w:left w:w="14" w:type="dxa"/>
              <w:right w:w="14" w:type="dxa"/>
            </w:tcMar>
            <w:vAlign w:val="center"/>
          </w:tcPr>
          <w:p>
            <w:pPr>
              <w:pStyle w:val="4"/>
              <w:widowControl/>
              <w:snapToGrid w:val="0"/>
              <w:spacing w:before="0" w:beforeAutospacing="0" w:after="0" w:afterAutospacing="0"/>
              <w:rPr>
                <w:sz w:val="31"/>
                <w:szCs w:val="31"/>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380" w:type="dxa"/>
            <w:vMerge w:val="restart"/>
            <w:tcBorders>
              <w:top w:val="single" w:color="000000" w:sz="6" w:space="0"/>
              <w:left w:val="single" w:color="000000" w:sz="6" w:space="0"/>
              <w:bottom w:val="single" w:color="000000" w:sz="6" w:space="0"/>
              <w:right w:val="single" w:color="000000" w:sz="6" w:space="0"/>
            </w:tcBorders>
            <w:noWrap w:val="0"/>
            <w:tcMar>
              <w:top w:w="14" w:type="dxa"/>
              <w:left w:w="14" w:type="dxa"/>
              <w:right w:w="14" w:type="dxa"/>
            </w:tcMar>
            <w:vAlign w:val="center"/>
          </w:tcPr>
          <w:p>
            <w:pPr>
              <w:pStyle w:val="4"/>
              <w:widowControl/>
              <w:snapToGrid w:val="0"/>
              <w:spacing w:before="0" w:beforeAutospacing="0" w:after="0" w:afterAutospacing="0"/>
              <w:jc w:val="center"/>
              <w:rPr>
                <w:sz w:val="31"/>
                <w:szCs w:val="31"/>
              </w:rPr>
            </w:pPr>
            <w:r>
              <w:rPr>
                <w:rFonts w:hint="eastAsia" w:ascii="方正仿宋_GBK" w:hAnsi="方正仿宋_GBK" w:eastAsia="方正仿宋_GBK" w:cs="方正仿宋_GBK"/>
                <w:color w:val="000000"/>
                <w:sz w:val="20"/>
                <w:szCs w:val="20"/>
              </w:rPr>
              <w:t>第七条</w:t>
            </w:r>
          </w:p>
        </w:tc>
        <w:tc>
          <w:tcPr>
            <w:tcW w:w="553" w:type="dxa"/>
            <w:vMerge w:val="restart"/>
            <w:tcBorders>
              <w:top w:val="single" w:color="000000" w:sz="6" w:space="0"/>
              <w:left w:val="single" w:color="000000" w:sz="6" w:space="0"/>
              <w:bottom w:val="single" w:color="000000" w:sz="6" w:space="0"/>
              <w:right w:val="single" w:color="000000" w:sz="6" w:space="0"/>
            </w:tcBorders>
            <w:noWrap w:val="0"/>
            <w:tcMar>
              <w:top w:w="14" w:type="dxa"/>
              <w:left w:w="14" w:type="dxa"/>
              <w:right w:w="14" w:type="dxa"/>
            </w:tcMar>
            <w:vAlign w:val="center"/>
          </w:tcPr>
          <w:p>
            <w:pPr>
              <w:pStyle w:val="4"/>
              <w:widowControl/>
              <w:snapToGrid w:val="0"/>
              <w:spacing w:before="0" w:beforeAutospacing="0" w:after="0" w:afterAutospacing="0"/>
              <w:rPr>
                <w:sz w:val="31"/>
                <w:szCs w:val="31"/>
              </w:rPr>
            </w:pPr>
            <w:r>
              <w:rPr>
                <w:rFonts w:hint="eastAsia" w:ascii="方正仿宋_GBK" w:hAnsi="方正仿宋_GBK" w:eastAsia="方正仿宋_GBK" w:cs="方正仿宋_GBK"/>
                <w:color w:val="000000"/>
                <w:sz w:val="20"/>
                <w:szCs w:val="20"/>
              </w:rPr>
              <w:t>质量安全领域违法行为</w:t>
            </w:r>
          </w:p>
        </w:tc>
        <w:tc>
          <w:tcPr>
            <w:tcW w:w="2708" w:type="dxa"/>
            <w:tcBorders>
              <w:top w:val="single" w:color="000000" w:sz="6" w:space="0"/>
              <w:left w:val="single" w:color="000000" w:sz="6" w:space="0"/>
              <w:bottom w:val="single" w:color="000000" w:sz="6" w:space="0"/>
              <w:right w:val="single" w:color="000000" w:sz="6" w:space="0"/>
            </w:tcBorders>
            <w:noWrap w:val="0"/>
            <w:tcMar>
              <w:top w:w="14" w:type="dxa"/>
              <w:left w:w="14" w:type="dxa"/>
              <w:right w:w="14" w:type="dxa"/>
            </w:tcMar>
            <w:vAlign w:val="center"/>
          </w:tcPr>
          <w:p>
            <w:pPr>
              <w:pStyle w:val="4"/>
              <w:widowControl/>
              <w:snapToGrid w:val="0"/>
              <w:spacing w:before="0" w:beforeAutospacing="0" w:after="0" w:afterAutospacing="0"/>
              <w:rPr>
                <w:sz w:val="31"/>
                <w:szCs w:val="31"/>
              </w:rPr>
            </w:pPr>
            <w:r>
              <w:rPr>
                <w:rFonts w:hint="eastAsia" w:ascii="方正仿宋_GBK" w:hAnsi="方正仿宋_GBK" w:eastAsia="方正仿宋_GBK" w:cs="方正仿宋_GBK"/>
                <w:color w:val="000000"/>
                <w:sz w:val="20"/>
                <w:szCs w:val="20"/>
              </w:rPr>
              <w:t>生产、销售、出租、使用未取得生产许可、国家明令淘汰、已经报废、未经检验或者检验不合格的特种设备；对不符合安全技术规范要求的移动式压力容器和气瓶进行充装；</w:t>
            </w:r>
          </w:p>
        </w:tc>
        <w:tc>
          <w:tcPr>
            <w:tcW w:w="6559" w:type="dxa"/>
            <w:tcBorders>
              <w:top w:val="single" w:color="000000" w:sz="6" w:space="0"/>
              <w:left w:val="single" w:color="000000" w:sz="6" w:space="0"/>
              <w:bottom w:val="single" w:color="000000" w:sz="6" w:space="0"/>
              <w:right w:val="single" w:color="000000" w:sz="6" w:space="0"/>
            </w:tcBorders>
            <w:noWrap w:val="0"/>
            <w:tcMar>
              <w:top w:w="14" w:type="dxa"/>
              <w:left w:w="14" w:type="dxa"/>
              <w:right w:w="14" w:type="dxa"/>
            </w:tcMar>
            <w:vAlign w:val="center"/>
          </w:tcPr>
          <w:p>
            <w:pPr>
              <w:pStyle w:val="4"/>
              <w:widowControl/>
              <w:snapToGrid w:val="0"/>
              <w:spacing w:before="0" w:beforeAutospacing="0" w:after="0" w:afterAutospacing="0"/>
              <w:rPr>
                <w:sz w:val="31"/>
                <w:szCs w:val="31"/>
              </w:rPr>
            </w:pPr>
            <w:r>
              <w:rPr>
                <w:rFonts w:hint="eastAsia" w:ascii="方正仿宋_GBK" w:hAnsi="方正仿宋_GBK" w:eastAsia="方正仿宋_GBK" w:cs="方正仿宋_GBK"/>
                <w:color w:val="000000"/>
                <w:sz w:val="20"/>
                <w:szCs w:val="20"/>
              </w:rPr>
              <w:t>《特种设备安全法》第八十一条第二款：违反本法规定，特种设备生产单位生产、销售、交付国家明令淘汰的特种设备的，责令停止生产、销售、没收违法生产、销售、交付的特种设备，处三万元以上三十万元以下罚款；有违法所得的，没收违法所得。</w:t>
            </w:r>
          </w:p>
          <w:p>
            <w:pPr>
              <w:pStyle w:val="4"/>
              <w:widowControl/>
              <w:snapToGrid w:val="0"/>
              <w:spacing w:before="0" w:beforeAutospacing="0" w:after="0" w:afterAutospacing="0"/>
              <w:rPr>
                <w:sz w:val="31"/>
                <w:szCs w:val="31"/>
              </w:rPr>
            </w:pPr>
            <w:r>
              <w:rPr>
                <w:rFonts w:hint="eastAsia" w:ascii="方正仿宋_GBK" w:hAnsi="方正仿宋_GBK" w:eastAsia="方正仿宋_GBK" w:cs="方正仿宋_GBK"/>
                <w:color w:val="000000"/>
                <w:sz w:val="20"/>
                <w:szCs w:val="20"/>
              </w:rPr>
              <w:t>第八十二条：违反本法规定，特种设备经营单位有下列行为之一的，责令停止经营 ，没收违法经营的特种设备，处三万元以上三十万元以下罚款；有违法所得的，没收违法所得：（一）销售、出租未取得许可生产，未经检验或者检验不合格的特种设备的；（二）销售、出租国家明令淘汰、已经报废的特种设备</w:t>
            </w:r>
            <w:r>
              <w:rPr>
                <w:color w:val="000000"/>
                <w:sz w:val="20"/>
                <w:szCs w:val="20"/>
              </w:rPr>
              <w:t>...</w:t>
            </w:r>
            <w:r>
              <w:rPr>
                <w:rFonts w:hint="eastAsia" w:ascii="方正仿宋_GBK" w:hAnsi="方正仿宋_GBK" w:eastAsia="方正仿宋_GBK" w:cs="方正仿宋_GBK"/>
                <w:color w:val="000000"/>
                <w:sz w:val="20"/>
                <w:szCs w:val="20"/>
              </w:rPr>
              <w:t>。</w:t>
            </w:r>
          </w:p>
          <w:p>
            <w:pPr>
              <w:pStyle w:val="4"/>
              <w:widowControl/>
              <w:snapToGrid w:val="0"/>
              <w:spacing w:before="0" w:beforeAutospacing="0" w:after="0" w:afterAutospacing="0"/>
              <w:rPr>
                <w:rFonts w:hint="eastAsia"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第八十五条：违反本法规定，移动式压力容器、气瓶充装单位有下列行为之一的，责令改正，处二万元以上二十万元以下罚款，情节严重的，吊销充装许可证：（二）对不符合安全技术规范要求的移动式压力容器和气瓶进行充装的。</w:t>
            </w:r>
          </w:p>
          <w:p>
            <w:pPr>
              <w:pStyle w:val="4"/>
              <w:widowControl/>
              <w:snapToGrid w:val="0"/>
              <w:spacing w:before="0" w:beforeAutospacing="0" w:after="0" w:afterAutospacing="0"/>
              <w:rPr>
                <w:rFonts w:hint="eastAsia" w:ascii="方正仿宋_GBK" w:hAnsi="方正仿宋_GBK" w:eastAsia="方正仿宋_GBK" w:cs="方正仿宋_GBK"/>
                <w:color w:val="000000"/>
                <w:sz w:val="20"/>
                <w:szCs w:val="20"/>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380" w:type="dxa"/>
            <w:vMerge w:val="continue"/>
            <w:tcBorders>
              <w:top w:val="single" w:color="000000" w:sz="6" w:space="0"/>
              <w:left w:val="single" w:color="000000" w:sz="6" w:space="0"/>
              <w:bottom w:val="single" w:color="000000" w:sz="6" w:space="0"/>
              <w:right w:val="single" w:color="000000" w:sz="6" w:space="0"/>
            </w:tcBorders>
            <w:noWrap w:val="0"/>
            <w:tcMar>
              <w:top w:w="14" w:type="dxa"/>
              <w:left w:w="14" w:type="dxa"/>
              <w:right w:w="14" w:type="dxa"/>
            </w:tcMar>
            <w:vAlign w:val="center"/>
          </w:tcPr>
          <w:p>
            <w:pPr>
              <w:snapToGrid w:val="0"/>
              <w:rPr>
                <w:rFonts w:hint="eastAsia" w:ascii="宋体"/>
                <w:color w:val="333333"/>
                <w:sz w:val="24"/>
              </w:rPr>
            </w:pPr>
          </w:p>
        </w:tc>
        <w:tc>
          <w:tcPr>
            <w:tcW w:w="553" w:type="dxa"/>
            <w:vMerge w:val="continue"/>
            <w:tcBorders>
              <w:top w:val="single" w:color="000000" w:sz="6" w:space="0"/>
              <w:left w:val="single" w:color="000000" w:sz="6" w:space="0"/>
              <w:bottom w:val="single" w:color="000000" w:sz="6" w:space="0"/>
              <w:right w:val="single" w:color="000000" w:sz="6" w:space="0"/>
            </w:tcBorders>
            <w:noWrap w:val="0"/>
            <w:tcMar>
              <w:top w:w="14" w:type="dxa"/>
              <w:left w:w="14" w:type="dxa"/>
              <w:right w:w="14" w:type="dxa"/>
            </w:tcMar>
            <w:vAlign w:val="center"/>
          </w:tcPr>
          <w:p>
            <w:pPr>
              <w:snapToGrid w:val="0"/>
              <w:rPr>
                <w:rFonts w:hint="eastAsia" w:ascii="宋体"/>
                <w:color w:val="333333"/>
                <w:sz w:val="24"/>
              </w:rPr>
            </w:pPr>
          </w:p>
        </w:tc>
        <w:tc>
          <w:tcPr>
            <w:tcW w:w="2708" w:type="dxa"/>
            <w:tcBorders>
              <w:top w:val="single" w:color="000000" w:sz="6" w:space="0"/>
              <w:left w:val="single" w:color="000000" w:sz="6" w:space="0"/>
              <w:bottom w:val="single" w:color="000000" w:sz="6" w:space="0"/>
              <w:right w:val="single" w:color="000000" w:sz="6" w:space="0"/>
            </w:tcBorders>
            <w:noWrap w:val="0"/>
            <w:tcMar>
              <w:top w:w="14" w:type="dxa"/>
              <w:left w:w="14" w:type="dxa"/>
              <w:right w:w="14" w:type="dxa"/>
            </w:tcMar>
            <w:vAlign w:val="center"/>
          </w:tcPr>
          <w:p>
            <w:pPr>
              <w:pStyle w:val="4"/>
              <w:widowControl/>
              <w:snapToGrid w:val="0"/>
              <w:spacing w:before="0" w:beforeAutospacing="0" w:after="0" w:afterAutospacing="0"/>
              <w:rPr>
                <w:sz w:val="31"/>
                <w:szCs w:val="31"/>
              </w:rPr>
            </w:pPr>
            <w:r>
              <w:rPr>
                <w:rFonts w:hint="eastAsia" w:ascii="方正仿宋_GBK" w:hAnsi="方正仿宋_GBK" w:eastAsia="方正仿宋_GBK" w:cs="方正仿宋_GBK"/>
                <w:color w:val="000000"/>
                <w:sz w:val="20"/>
                <w:szCs w:val="20"/>
              </w:rPr>
              <w:t>生产销售不符合保障身体健康和生命安全的国家标准的产品，在产品中掺杂、掺假，以假充真、以次充好，或者以不合格产品冒充合格产品，生产销售国家明令淘汰的产品；</w:t>
            </w:r>
          </w:p>
        </w:tc>
        <w:tc>
          <w:tcPr>
            <w:tcW w:w="6559" w:type="dxa"/>
            <w:tcBorders>
              <w:top w:val="single" w:color="000000" w:sz="6" w:space="0"/>
              <w:left w:val="single" w:color="000000" w:sz="6" w:space="0"/>
              <w:bottom w:val="single" w:color="000000" w:sz="6" w:space="0"/>
              <w:right w:val="single" w:color="000000" w:sz="6" w:space="0"/>
            </w:tcBorders>
            <w:noWrap w:val="0"/>
            <w:tcMar>
              <w:top w:w="14" w:type="dxa"/>
              <w:left w:w="14" w:type="dxa"/>
              <w:right w:w="14" w:type="dxa"/>
            </w:tcMar>
            <w:vAlign w:val="center"/>
          </w:tcPr>
          <w:p>
            <w:pPr>
              <w:pStyle w:val="4"/>
              <w:widowControl/>
              <w:snapToGrid w:val="0"/>
              <w:spacing w:before="0" w:beforeAutospacing="0" w:after="0" w:afterAutospacing="0"/>
              <w:rPr>
                <w:sz w:val="31"/>
                <w:szCs w:val="31"/>
              </w:rPr>
            </w:pPr>
            <w:r>
              <w:rPr>
                <w:rFonts w:hint="eastAsia" w:ascii="方正仿宋_GBK" w:hAnsi="方正仿宋_GBK" w:eastAsia="方正仿宋_GBK" w:cs="方正仿宋_GBK"/>
                <w:b/>
                <w:bCs/>
                <w:color w:val="000000"/>
                <w:sz w:val="20"/>
                <w:szCs w:val="20"/>
              </w:rPr>
              <w:t>《产品质量法》第四十九条</w:t>
            </w:r>
            <w:r>
              <w:rPr>
                <w:rFonts w:hint="eastAsia" w:ascii="方正仿宋_GBK" w:hAnsi="方正仿宋_GBK" w:eastAsia="方正仿宋_GBK" w:cs="方正仿宋_GBK"/>
                <w:color w:val="000000"/>
                <w:sz w:val="20"/>
                <w:szCs w:val="20"/>
              </w:rPr>
              <w:t>：生产、销售不符合保障人体健康和人身、财产安全的国家标准、行业标准的产品的，责令停止生产、销售，没收违法生产、销售的产品，并处违法生产、销售产品（包括已售出和未售出的产品，下同）货值金额等值以上三倍以下的罚款；有违法所得的，并处没收违法所得；情节严重的，吊销营业执照；构成犯罪的，依法追究刑事责任。</w:t>
            </w:r>
          </w:p>
          <w:p>
            <w:pPr>
              <w:pStyle w:val="4"/>
              <w:widowControl/>
              <w:snapToGrid w:val="0"/>
              <w:spacing w:before="0" w:beforeAutospacing="0" w:after="0" w:afterAutospacing="0"/>
              <w:rPr>
                <w:sz w:val="31"/>
                <w:szCs w:val="31"/>
              </w:rPr>
            </w:pPr>
            <w:r>
              <w:rPr>
                <w:rFonts w:hint="eastAsia" w:ascii="方正仿宋_GBK" w:hAnsi="方正仿宋_GBK" w:eastAsia="方正仿宋_GBK" w:cs="方正仿宋_GBK"/>
                <w:color w:val="000000"/>
                <w:sz w:val="20"/>
                <w:szCs w:val="20"/>
              </w:rPr>
              <w:t>第五十条：在产品中掺杂、掺假，以假充真，以次充好，或者以不合格产品冒充合格产品的，责令停止生产、销售，没收违法生产、销售的产品，并处违法生产、销售产品货值金额百分之五十以上三倍以下的罚款；有违法所得的，并处没收违法所得；情节严重的，吊销营业执照；构成犯罪的，依法追究刑事责任。</w:t>
            </w:r>
          </w:p>
          <w:p>
            <w:pPr>
              <w:pStyle w:val="4"/>
              <w:widowControl/>
              <w:snapToGrid w:val="0"/>
              <w:spacing w:before="0" w:beforeAutospacing="0" w:after="0" w:afterAutospacing="0"/>
              <w:rPr>
                <w:sz w:val="31"/>
                <w:szCs w:val="31"/>
              </w:rPr>
            </w:pPr>
            <w:r>
              <w:rPr>
                <w:rFonts w:hint="eastAsia" w:ascii="方正仿宋_GBK" w:hAnsi="方正仿宋_GBK" w:eastAsia="方正仿宋_GBK" w:cs="方正仿宋_GBK"/>
                <w:b/>
                <w:bCs/>
                <w:color w:val="000000"/>
                <w:sz w:val="20"/>
                <w:szCs w:val="20"/>
              </w:rPr>
              <w:t>第五十一条</w:t>
            </w:r>
            <w:r>
              <w:rPr>
                <w:rFonts w:hint="eastAsia" w:ascii="方正仿宋_GBK" w:hAnsi="方正仿宋_GBK" w:eastAsia="方正仿宋_GBK" w:cs="方正仿宋_GBK"/>
                <w:color w:val="000000"/>
                <w:sz w:val="20"/>
                <w:szCs w:val="20"/>
              </w:rPr>
              <w:t>：生产国家明令淘汰的产品的，销售国家明令淘汰并停止销售的产品的，责令停止生产、销售，没收违法生产、销售的产品，并处违法生产、销售产品货值以下的罚款；有违法所得的，并处没收违法所得；情节严重的，吊销营业执照。</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380" w:type="dxa"/>
            <w:vMerge w:val="continue"/>
            <w:tcBorders>
              <w:top w:val="single" w:color="000000" w:sz="6" w:space="0"/>
              <w:left w:val="single" w:color="000000" w:sz="6" w:space="0"/>
              <w:bottom w:val="single" w:color="000000" w:sz="6" w:space="0"/>
              <w:right w:val="single" w:color="000000" w:sz="6" w:space="0"/>
            </w:tcBorders>
            <w:noWrap w:val="0"/>
            <w:tcMar>
              <w:top w:w="14" w:type="dxa"/>
              <w:left w:w="14" w:type="dxa"/>
              <w:right w:w="14" w:type="dxa"/>
            </w:tcMar>
            <w:vAlign w:val="center"/>
          </w:tcPr>
          <w:p>
            <w:pPr>
              <w:snapToGrid w:val="0"/>
              <w:rPr>
                <w:rFonts w:hint="eastAsia" w:ascii="宋体"/>
                <w:color w:val="333333"/>
                <w:sz w:val="24"/>
              </w:rPr>
            </w:pPr>
          </w:p>
        </w:tc>
        <w:tc>
          <w:tcPr>
            <w:tcW w:w="553" w:type="dxa"/>
            <w:vMerge w:val="continue"/>
            <w:tcBorders>
              <w:top w:val="single" w:color="000000" w:sz="6" w:space="0"/>
              <w:left w:val="single" w:color="000000" w:sz="6" w:space="0"/>
              <w:bottom w:val="single" w:color="000000" w:sz="6" w:space="0"/>
              <w:right w:val="single" w:color="000000" w:sz="6" w:space="0"/>
            </w:tcBorders>
            <w:noWrap w:val="0"/>
            <w:tcMar>
              <w:top w:w="14" w:type="dxa"/>
              <w:left w:w="14" w:type="dxa"/>
              <w:right w:w="14" w:type="dxa"/>
            </w:tcMar>
            <w:vAlign w:val="center"/>
          </w:tcPr>
          <w:p>
            <w:pPr>
              <w:snapToGrid w:val="0"/>
              <w:rPr>
                <w:rFonts w:hint="eastAsia" w:ascii="宋体"/>
                <w:color w:val="333333"/>
                <w:sz w:val="24"/>
              </w:rPr>
            </w:pPr>
          </w:p>
        </w:tc>
        <w:tc>
          <w:tcPr>
            <w:tcW w:w="2708" w:type="dxa"/>
            <w:tcBorders>
              <w:top w:val="single" w:color="000000" w:sz="6" w:space="0"/>
              <w:left w:val="single" w:color="000000" w:sz="6" w:space="0"/>
              <w:bottom w:val="single" w:color="000000" w:sz="6" w:space="0"/>
              <w:right w:val="single" w:color="000000" w:sz="6" w:space="0"/>
            </w:tcBorders>
            <w:noWrap w:val="0"/>
            <w:tcMar>
              <w:top w:w="14" w:type="dxa"/>
              <w:left w:w="14" w:type="dxa"/>
              <w:right w:w="14" w:type="dxa"/>
            </w:tcMar>
            <w:vAlign w:val="center"/>
          </w:tcPr>
          <w:p>
            <w:pPr>
              <w:pStyle w:val="4"/>
              <w:widowControl/>
              <w:snapToGrid w:val="0"/>
              <w:spacing w:before="0" w:beforeAutospacing="0" w:after="0" w:afterAutospacing="0"/>
              <w:rPr>
                <w:sz w:val="31"/>
                <w:szCs w:val="31"/>
              </w:rPr>
            </w:pPr>
            <w:r>
              <w:rPr>
                <w:rFonts w:hint="eastAsia" w:ascii="方正仿宋_GBK" w:hAnsi="方正仿宋_GBK" w:eastAsia="方正仿宋_GBK" w:cs="方正仿宋_GBK"/>
                <w:color w:val="000000"/>
                <w:sz w:val="20"/>
                <w:szCs w:val="20"/>
              </w:rPr>
              <w:t>产品质量监督抽查不合格，受到省级以上人民政府市场监督管理部门公告，经公告后复查仍不合格；</w:t>
            </w:r>
          </w:p>
        </w:tc>
        <w:tc>
          <w:tcPr>
            <w:tcW w:w="6559" w:type="dxa"/>
            <w:tcBorders>
              <w:top w:val="single" w:color="000000" w:sz="6" w:space="0"/>
              <w:left w:val="single" w:color="000000" w:sz="6" w:space="0"/>
              <w:bottom w:val="single" w:color="000000" w:sz="6" w:space="0"/>
              <w:right w:val="single" w:color="000000" w:sz="6" w:space="0"/>
            </w:tcBorders>
            <w:noWrap w:val="0"/>
            <w:tcMar>
              <w:top w:w="14" w:type="dxa"/>
              <w:left w:w="14" w:type="dxa"/>
              <w:right w:w="14" w:type="dxa"/>
            </w:tcMar>
            <w:vAlign w:val="center"/>
          </w:tcPr>
          <w:p>
            <w:pPr>
              <w:pStyle w:val="4"/>
              <w:widowControl/>
              <w:snapToGrid w:val="0"/>
              <w:spacing w:before="0" w:beforeAutospacing="0" w:after="0" w:afterAutospacing="0"/>
              <w:rPr>
                <w:rFonts w:hint="eastAsia" w:ascii="方正仿宋_GBK" w:hAnsi="方正仿宋_GBK" w:eastAsia="方正仿宋_GBK" w:cs="方正仿宋_GBK"/>
                <w:color w:val="000000"/>
                <w:sz w:val="20"/>
                <w:szCs w:val="20"/>
                <w:lang w:eastAsia="zh-CN"/>
              </w:rPr>
            </w:pPr>
            <w:r>
              <w:rPr>
                <w:rFonts w:hint="eastAsia" w:ascii="方正仿宋_GBK" w:hAnsi="方正仿宋_GBK" w:eastAsia="方正仿宋_GBK" w:cs="方正仿宋_GBK"/>
                <w:b/>
                <w:bCs/>
                <w:color w:val="000000"/>
                <w:sz w:val="20"/>
                <w:szCs w:val="20"/>
              </w:rPr>
              <w:t>《产品质量法》第十七条</w:t>
            </w:r>
            <w:r>
              <w:rPr>
                <w:rFonts w:hint="eastAsia" w:ascii="方正仿宋_GBK" w:hAnsi="方正仿宋_GBK" w:eastAsia="方正仿宋_GBK" w:cs="方正仿宋_GBK"/>
                <w:color w:val="000000"/>
                <w:sz w:val="20"/>
                <w:szCs w:val="20"/>
              </w:rPr>
              <w:t>： 依照本法规定进行监督抽查的产品质量不合格的，由实施监督抽查的市场监督管理部门责令其生产者、销售者限期改正。逾期不改正的，由省级以上人民政府市场监督管理部门予以公告；公告后经复查仍不合格的，责令停业，限期整顿；整顿期满后经复查产品质量仍不合格的，吊销营业执照。</w:t>
            </w:r>
          </w:p>
          <w:p>
            <w:pPr>
              <w:pStyle w:val="4"/>
              <w:widowControl/>
              <w:snapToGrid w:val="0"/>
              <w:spacing w:before="0" w:beforeAutospacing="0" w:after="0" w:afterAutospacing="0"/>
              <w:rPr>
                <w:sz w:val="31"/>
                <w:szCs w:val="31"/>
              </w:rPr>
            </w:pPr>
            <w:r>
              <w:rPr>
                <w:rFonts w:hint="eastAsia" w:ascii="方正仿宋_GBK" w:hAnsi="方正仿宋_GBK" w:eastAsia="方正仿宋_GBK" w:cs="方正仿宋_GBK"/>
                <w:color w:val="333333"/>
                <w:sz w:val="20"/>
                <w:szCs w:val="20"/>
              </w:rPr>
              <w:t>监督抽查的产品有严重质量问题的，依照本法第五章的有关规定处罚。</w:t>
            </w:r>
          </w:p>
          <w:p>
            <w:pPr>
              <w:pStyle w:val="4"/>
              <w:widowControl/>
              <w:snapToGrid w:val="0"/>
              <w:spacing w:before="0" w:beforeAutospacing="0" w:after="0" w:afterAutospacing="0"/>
              <w:rPr>
                <w:sz w:val="31"/>
                <w:szCs w:val="31"/>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380" w:type="dxa"/>
            <w:vMerge w:val="continue"/>
            <w:tcBorders>
              <w:top w:val="single" w:color="000000" w:sz="6" w:space="0"/>
              <w:left w:val="single" w:color="000000" w:sz="6" w:space="0"/>
              <w:bottom w:val="single" w:color="000000" w:sz="6" w:space="0"/>
              <w:right w:val="single" w:color="000000" w:sz="6" w:space="0"/>
            </w:tcBorders>
            <w:noWrap w:val="0"/>
            <w:tcMar>
              <w:top w:w="14" w:type="dxa"/>
              <w:left w:w="14" w:type="dxa"/>
              <w:right w:w="14" w:type="dxa"/>
            </w:tcMar>
            <w:vAlign w:val="center"/>
          </w:tcPr>
          <w:p>
            <w:pPr>
              <w:snapToGrid w:val="0"/>
              <w:rPr>
                <w:rFonts w:hint="eastAsia" w:ascii="宋体"/>
                <w:color w:val="333333"/>
                <w:sz w:val="24"/>
              </w:rPr>
            </w:pPr>
          </w:p>
        </w:tc>
        <w:tc>
          <w:tcPr>
            <w:tcW w:w="553" w:type="dxa"/>
            <w:vMerge w:val="continue"/>
            <w:tcBorders>
              <w:top w:val="single" w:color="000000" w:sz="6" w:space="0"/>
              <w:left w:val="single" w:color="000000" w:sz="6" w:space="0"/>
              <w:bottom w:val="single" w:color="000000" w:sz="6" w:space="0"/>
              <w:right w:val="single" w:color="000000" w:sz="6" w:space="0"/>
            </w:tcBorders>
            <w:noWrap w:val="0"/>
            <w:tcMar>
              <w:top w:w="14" w:type="dxa"/>
              <w:left w:w="14" w:type="dxa"/>
              <w:right w:w="14" w:type="dxa"/>
            </w:tcMar>
            <w:vAlign w:val="center"/>
          </w:tcPr>
          <w:p>
            <w:pPr>
              <w:snapToGrid w:val="0"/>
              <w:rPr>
                <w:rFonts w:hint="eastAsia" w:ascii="宋体"/>
                <w:color w:val="333333"/>
                <w:sz w:val="24"/>
              </w:rPr>
            </w:pPr>
          </w:p>
        </w:tc>
        <w:tc>
          <w:tcPr>
            <w:tcW w:w="2708" w:type="dxa"/>
            <w:tcBorders>
              <w:top w:val="single" w:color="000000" w:sz="6" w:space="0"/>
              <w:left w:val="single" w:color="000000" w:sz="6" w:space="0"/>
              <w:bottom w:val="single" w:color="000000" w:sz="6" w:space="0"/>
              <w:right w:val="single" w:color="000000" w:sz="6" w:space="0"/>
            </w:tcBorders>
            <w:noWrap w:val="0"/>
            <w:tcMar>
              <w:top w:w="14" w:type="dxa"/>
              <w:left w:w="14" w:type="dxa"/>
              <w:right w:w="14" w:type="dxa"/>
            </w:tcMar>
            <w:vAlign w:val="center"/>
          </w:tcPr>
          <w:p>
            <w:pPr>
              <w:pStyle w:val="4"/>
              <w:widowControl/>
              <w:snapToGrid w:val="0"/>
              <w:spacing w:before="0" w:beforeAutospacing="0" w:after="0" w:afterAutospacing="0"/>
              <w:rPr>
                <w:sz w:val="31"/>
                <w:szCs w:val="31"/>
              </w:rPr>
            </w:pPr>
            <w:r>
              <w:rPr>
                <w:rFonts w:hint="eastAsia" w:ascii="方正仿宋_GBK" w:hAnsi="方正仿宋_GBK" w:eastAsia="方正仿宋_GBK" w:cs="方正仿宋_GBK"/>
                <w:color w:val="000000"/>
                <w:sz w:val="20"/>
                <w:szCs w:val="20"/>
              </w:rPr>
              <w:t>出具虚假或者严重失实的检验、检测、认证、认可结论，严重危害质量安全；</w:t>
            </w:r>
          </w:p>
        </w:tc>
        <w:tc>
          <w:tcPr>
            <w:tcW w:w="6559" w:type="dxa"/>
            <w:tcBorders>
              <w:top w:val="single" w:color="000000" w:sz="6" w:space="0"/>
              <w:left w:val="single" w:color="000000" w:sz="6" w:space="0"/>
              <w:bottom w:val="single" w:color="000000" w:sz="6" w:space="0"/>
              <w:right w:val="single" w:color="000000" w:sz="6" w:space="0"/>
            </w:tcBorders>
            <w:noWrap w:val="0"/>
            <w:tcMar>
              <w:top w:w="14" w:type="dxa"/>
              <w:left w:w="14" w:type="dxa"/>
              <w:right w:w="14" w:type="dxa"/>
            </w:tcMar>
            <w:vAlign w:val="center"/>
          </w:tcPr>
          <w:p>
            <w:pPr>
              <w:pStyle w:val="4"/>
              <w:widowControl/>
              <w:snapToGrid w:val="0"/>
              <w:spacing w:before="0" w:beforeAutospacing="0" w:after="0" w:afterAutospacing="0"/>
              <w:rPr>
                <w:rFonts w:hint="eastAsia" w:ascii="方正仿宋_GBK" w:hAnsi="方正仿宋_GBK" w:eastAsia="方正仿宋_GBK" w:cs="方正仿宋_GBK"/>
                <w:color w:val="000000"/>
                <w:sz w:val="20"/>
                <w:szCs w:val="20"/>
                <w:lang w:eastAsia="zh-CN"/>
              </w:rPr>
            </w:pPr>
            <w:r>
              <w:rPr>
                <w:rFonts w:hint="eastAsia" w:ascii="方正仿宋_GBK" w:hAnsi="方正仿宋_GBK" w:eastAsia="方正仿宋_GBK" w:cs="方正仿宋_GBK"/>
                <w:b/>
                <w:bCs/>
                <w:color w:val="000000"/>
                <w:sz w:val="20"/>
                <w:szCs w:val="20"/>
              </w:rPr>
              <w:t>《产品质量法》第五十七条</w:t>
            </w:r>
            <w:r>
              <w:rPr>
                <w:rFonts w:hint="eastAsia" w:ascii="方正仿宋_GBK" w:hAnsi="方正仿宋_GBK" w:eastAsia="方正仿宋_GBK" w:cs="方正仿宋_GBK"/>
                <w:color w:val="000000"/>
                <w:sz w:val="20"/>
                <w:szCs w:val="20"/>
              </w:rPr>
              <w:t>：产品质量检验机构、认证机构伪造检验结果或者出具虚假证明的，责令改正，对单位处五万元以上十万元以下的罚款，对直接负责的主管人员和其他直接责任人员处一万元以上五万元以下的罚款；有违法所得的，并处没收违法所得；情节严重的，取消其检验资格、认证资格；构成犯罪的，依法追究刑事责任。</w:t>
            </w:r>
          </w:p>
          <w:p>
            <w:pPr>
              <w:pStyle w:val="4"/>
              <w:widowControl/>
              <w:snapToGrid w:val="0"/>
              <w:spacing w:before="0" w:beforeAutospacing="0" w:after="0" w:afterAutospacing="0"/>
              <w:rPr>
                <w:rFonts w:hint="eastAsia" w:ascii="方正仿宋_GBK" w:hAnsi="方正仿宋_GBK" w:eastAsia="方正仿宋_GBK" w:cs="方正仿宋_GBK"/>
                <w:color w:val="333333"/>
                <w:sz w:val="20"/>
                <w:szCs w:val="20"/>
                <w:lang w:eastAsia="zh-CN"/>
              </w:rPr>
            </w:pPr>
            <w:r>
              <w:rPr>
                <w:rFonts w:hint="eastAsia" w:ascii="方正仿宋_GBK" w:hAnsi="方正仿宋_GBK" w:eastAsia="方正仿宋_GBK" w:cs="方正仿宋_GBK"/>
                <w:color w:val="333333"/>
                <w:sz w:val="20"/>
                <w:szCs w:val="20"/>
              </w:rPr>
              <w:t>产品质量检验机构、认证机构出具的检验结果或者证明不实，造成损失的，应当承担相应的赔偿责任；造成重大损失的，撤销其检验资格、认证资格。</w:t>
            </w:r>
          </w:p>
          <w:p>
            <w:pPr>
              <w:pStyle w:val="4"/>
              <w:widowControl/>
              <w:snapToGrid w:val="0"/>
              <w:spacing w:before="0" w:beforeAutospacing="0" w:after="0" w:afterAutospacing="0"/>
              <w:rPr>
                <w:sz w:val="31"/>
                <w:szCs w:val="31"/>
              </w:rPr>
            </w:pPr>
            <w:r>
              <w:rPr>
                <w:rFonts w:hint="eastAsia" w:ascii="方正仿宋_GBK" w:hAnsi="方正仿宋_GBK" w:eastAsia="方正仿宋_GBK" w:cs="方正仿宋_GBK"/>
                <w:color w:val="333333"/>
                <w:sz w:val="20"/>
                <w:szCs w:val="20"/>
              </w:rPr>
              <w:t>产品质量认证机构违反本法第二十一条第二款的规定，对不符合认证标准而使用认证标志的产品，未依法要求其改正或者取消其使用认证标志资格的，对因产品不符合认证标准给消费者造成的损失，与产品的生产者、销售者承担连带责任；情节严重的，撤销其认证资格。</w:t>
            </w:r>
          </w:p>
          <w:p>
            <w:pPr>
              <w:pStyle w:val="4"/>
              <w:widowControl/>
              <w:snapToGrid w:val="0"/>
              <w:spacing w:before="0" w:beforeAutospacing="0" w:after="0" w:afterAutospacing="0"/>
              <w:rPr>
                <w:rFonts w:hint="eastAsia" w:ascii="方正仿宋_GBK" w:hAnsi="方正仿宋_GBK" w:eastAsia="方正仿宋_GBK" w:cs="方正仿宋_GBK"/>
                <w:color w:val="000000"/>
                <w:sz w:val="20"/>
                <w:szCs w:val="20"/>
              </w:rPr>
            </w:pPr>
            <w:r>
              <w:rPr>
                <w:rFonts w:hint="eastAsia" w:ascii="方正仿宋_GBK" w:hAnsi="方正仿宋_GBK" w:eastAsia="方正仿宋_GBK" w:cs="方正仿宋_GBK"/>
                <w:b/>
                <w:bCs/>
                <w:color w:val="000000"/>
                <w:sz w:val="20"/>
                <w:szCs w:val="20"/>
              </w:rPr>
              <w:t>《认证认可条例》第六十</w:t>
            </w:r>
            <w:r>
              <w:rPr>
                <w:rFonts w:hint="eastAsia" w:ascii="方正仿宋_GBK" w:hAnsi="方正仿宋_GBK" w:eastAsia="方正仿宋_GBK" w:cs="方正仿宋_GBK"/>
                <w:b/>
                <w:bCs/>
                <w:color w:val="000000"/>
                <w:sz w:val="20"/>
                <w:szCs w:val="20"/>
                <w:lang w:eastAsia="zh-CN"/>
              </w:rPr>
              <w:t>一</w:t>
            </w:r>
            <w:r>
              <w:rPr>
                <w:rFonts w:hint="eastAsia" w:ascii="方正仿宋_GBK" w:hAnsi="方正仿宋_GBK" w:eastAsia="方正仿宋_GBK" w:cs="方正仿宋_GBK"/>
                <w:b/>
                <w:bCs/>
                <w:color w:val="000000"/>
                <w:sz w:val="20"/>
                <w:szCs w:val="20"/>
              </w:rPr>
              <w:t>条</w:t>
            </w:r>
            <w:r>
              <w:rPr>
                <w:rFonts w:hint="eastAsia" w:ascii="方正仿宋_GBK" w:hAnsi="方正仿宋_GBK" w:eastAsia="方正仿宋_GBK" w:cs="方正仿宋_GBK"/>
                <w:color w:val="000000"/>
                <w:sz w:val="20"/>
                <w:szCs w:val="20"/>
              </w:rPr>
              <w:t>：认证机构出具虚假的认证结论，或者出具的认证结论严重失实的，撤销批准文件，并予公布；对直接负责的主管人员和负有直接责任的认证人员，撤销其执业资格；构成犯罪的，依法追究刑事责任；造成损害的，认证机构应当承担相应的赔偿责任。</w:t>
            </w:r>
          </w:p>
          <w:p>
            <w:pPr>
              <w:pStyle w:val="4"/>
              <w:widowControl/>
              <w:snapToGrid w:val="0"/>
              <w:spacing w:before="0" w:beforeAutospacing="0" w:after="0" w:afterAutospacing="0"/>
              <w:rPr>
                <w:rFonts w:hint="eastAsia" w:ascii="方正仿宋_GBK" w:hAnsi="方正仿宋_GBK" w:eastAsia="方正仿宋_GBK" w:cs="方正仿宋_GBK"/>
                <w:color w:val="000000"/>
                <w:sz w:val="20"/>
                <w:szCs w:val="20"/>
              </w:rPr>
            </w:pPr>
            <w:r>
              <w:rPr>
                <w:rFonts w:hint="eastAsia" w:ascii="方正仿宋_GBK" w:hAnsi="方正仿宋_GBK" w:eastAsia="方正仿宋_GBK" w:cs="方正仿宋_GBK"/>
                <w:b/>
                <w:bCs/>
                <w:color w:val="000000"/>
                <w:sz w:val="20"/>
                <w:szCs w:val="20"/>
                <w:lang w:val="en-US" w:eastAsia="zh-CN"/>
              </w:rPr>
              <w:t>《检验检测机构监督管理办法》</w:t>
            </w:r>
            <w:r>
              <w:rPr>
                <w:rFonts w:hint="eastAsia" w:ascii="方正仿宋_GBK" w:hAnsi="方正仿宋_GBK" w:eastAsia="方正仿宋_GBK" w:cs="方正仿宋_GBK"/>
                <w:b/>
                <w:bCs/>
                <w:color w:val="000000"/>
                <w:sz w:val="20"/>
                <w:szCs w:val="20"/>
              </w:rPr>
              <w:t>第二十六条</w:t>
            </w:r>
            <w:r>
              <w:rPr>
                <w:rFonts w:hint="eastAsia" w:ascii="方正仿宋_GBK" w:hAnsi="方正仿宋_GBK" w:eastAsia="方正仿宋_GBK" w:cs="方正仿宋_GBK"/>
                <w:color w:val="000000"/>
                <w:sz w:val="20"/>
                <w:szCs w:val="20"/>
                <w:lang w:eastAsia="zh-CN"/>
              </w:rPr>
              <w:t>：</w:t>
            </w:r>
            <w:r>
              <w:rPr>
                <w:rFonts w:hint="eastAsia" w:ascii="方正仿宋_GBK" w:hAnsi="方正仿宋_GBK" w:eastAsia="方正仿宋_GBK" w:cs="方正仿宋_GBK"/>
                <w:color w:val="000000"/>
                <w:sz w:val="20"/>
                <w:szCs w:val="20"/>
              </w:rPr>
              <w:t>检验检测机构有下列情形之一的，法律、法规对撤销、吊销、取消检验检测资质或者证书等有行政处罚规定的，依照法律、法规的规定执行；法律、法规未作规定的，由县级以上市场监督管理部门责令限期改正，处3万元罚款：</w:t>
            </w:r>
          </w:p>
          <w:p>
            <w:pPr>
              <w:pStyle w:val="4"/>
              <w:widowControl/>
              <w:snapToGrid w:val="0"/>
              <w:spacing w:before="0" w:beforeAutospacing="0" w:after="0" w:afterAutospacing="0"/>
              <w:rPr>
                <w:rFonts w:hint="eastAsia"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（一）违反本办法第十三条规定，出具不实检验检测报告的；</w:t>
            </w:r>
          </w:p>
          <w:p>
            <w:pPr>
              <w:pStyle w:val="4"/>
              <w:widowControl/>
              <w:snapToGrid w:val="0"/>
              <w:spacing w:before="0" w:beforeAutospacing="0" w:after="0" w:afterAutospacing="0"/>
              <w:rPr>
                <w:sz w:val="31"/>
                <w:szCs w:val="31"/>
              </w:rPr>
            </w:pPr>
            <w:r>
              <w:rPr>
                <w:rFonts w:hint="eastAsia" w:ascii="方正仿宋_GBK" w:hAnsi="方正仿宋_GBK" w:eastAsia="方正仿宋_GBK" w:cs="方正仿宋_GBK"/>
                <w:color w:val="000000"/>
                <w:sz w:val="20"/>
                <w:szCs w:val="20"/>
              </w:rPr>
              <w:t>（二）违反本办法第十四条规定，出具虚假检验检测报告的。</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90" w:hRule="atLeast"/>
          <w:jc w:val="center"/>
        </w:trPr>
        <w:tc>
          <w:tcPr>
            <w:tcW w:w="380" w:type="dxa"/>
            <w:vMerge w:val="continue"/>
            <w:tcBorders>
              <w:top w:val="single" w:color="000000" w:sz="6" w:space="0"/>
              <w:left w:val="single" w:color="000000" w:sz="6" w:space="0"/>
              <w:bottom w:val="single" w:color="000000" w:sz="6" w:space="0"/>
              <w:right w:val="single" w:color="000000" w:sz="6" w:space="0"/>
            </w:tcBorders>
            <w:noWrap w:val="0"/>
            <w:tcMar>
              <w:top w:w="14" w:type="dxa"/>
              <w:left w:w="14" w:type="dxa"/>
              <w:right w:w="14" w:type="dxa"/>
            </w:tcMar>
            <w:vAlign w:val="center"/>
          </w:tcPr>
          <w:p>
            <w:pPr>
              <w:snapToGrid w:val="0"/>
              <w:rPr>
                <w:rFonts w:hint="eastAsia" w:ascii="宋体"/>
                <w:color w:val="333333"/>
                <w:sz w:val="24"/>
              </w:rPr>
            </w:pPr>
          </w:p>
        </w:tc>
        <w:tc>
          <w:tcPr>
            <w:tcW w:w="553" w:type="dxa"/>
            <w:vMerge w:val="continue"/>
            <w:tcBorders>
              <w:top w:val="single" w:color="000000" w:sz="6" w:space="0"/>
              <w:left w:val="single" w:color="000000" w:sz="6" w:space="0"/>
              <w:bottom w:val="single" w:color="000000" w:sz="6" w:space="0"/>
              <w:right w:val="single" w:color="000000" w:sz="6" w:space="0"/>
            </w:tcBorders>
            <w:noWrap w:val="0"/>
            <w:tcMar>
              <w:top w:w="14" w:type="dxa"/>
              <w:left w:w="14" w:type="dxa"/>
              <w:right w:w="14" w:type="dxa"/>
            </w:tcMar>
            <w:vAlign w:val="center"/>
          </w:tcPr>
          <w:p>
            <w:pPr>
              <w:snapToGrid w:val="0"/>
              <w:rPr>
                <w:rFonts w:hint="eastAsia" w:ascii="宋体"/>
                <w:color w:val="333333"/>
                <w:sz w:val="24"/>
              </w:rPr>
            </w:pPr>
          </w:p>
        </w:tc>
        <w:tc>
          <w:tcPr>
            <w:tcW w:w="2708" w:type="dxa"/>
            <w:vMerge w:val="restart"/>
            <w:tcBorders>
              <w:top w:val="single" w:color="000000" w:sz="6" w:space="0"/>
              <w:left w:val="single" w:color="000000" w:sz="6" w:space="0"/>
              <w:bottom w:val="single" w:color="000000" w:sz="6" w:space="0"/>
              <w:right w:val="single" w:color="000000" w:sz="6" w:space="0"/>
            </w:tcBorders>
            <w:noWrap w:val="0"/>
            <w:tcMar>
              <w:top w:w="14" w:type="dxa"/>
              <w:left w:w="14" w:type="dxa"/>
              <w:right w:w="14" w:type="dxa"/>
            </w:tcMar>
            <w:vAlign w:val="center"/>
          </w:tcPr>
          <w:p>
            <w:pPr>
              <w:pStyle w:val="4"/>
              <w:widowControl/>
              <w:snapToGrid w:val="0"/>
              <w:spacing w:before="0" w:beforeAutospacing="0" w:after="0" w:afterAutospacing="0"/>
              <w:rPr>
                <w:sz w:val="31"/>
                <w:szCs w:val="31"/>
              </w:rPr>
            </w:pPr>
            <w:r>
              <w:rPr>
                <w:rFonts w:hint="eastAsia" w:ascii="方正仿宋_GBK" w:hAnsi="方正仿宋_GBK" w:eastAsia="方正仿宋_GBK" w:cs="方正仿宋_GBK"/>
                <w:color w:val="000000"/>
                <w:sz w:val="20"/>
                <w:szCs w:val="20"/>
              </w:rPr>
              <w:t>伪造、冒用、买卖认证标志或者认证证书；未经认证擅自出厂、销售、进口或者在其他经营性活动中使用被列入强制性产品认证目录内的产品</w:t>
            </w:r>
          </w:p>
        </w:tc>
        <w:tc>
          <w:tcPr>
            <w:tcW w:w="6559" w:type="dxa"/>
            <w:tcBorders>
              <w:top w:val="single" w:color="000000" w:sz="6" w:space="0"/>
              <w:left w:val="single" w:color="000000" w:sz="6" w:space="0"/>
              <w:bottom w:val="single" w:color="000000" w:sz="6" w:space="0"/>
              <w:right w:val="single" w:color="000000" w:sz="6" w:space="0"/>
            </w:tcBorders>
            <w:noWrap w:val="0"/>
            <w:tcMar>
              <w:top w:w="14" w:type="dxa"/>
              <w:left w:w="14" w:type="dxa"/>
              <w:right w:w="14" w:type="dxa"/>
            </w:tcMar>
            <w:vAlign w:val="center"/>
          </w:tcPr>
          <w:p>
            <w:pPr>
              <w:pStyle w:val="4"/>
              <w:widowControl/>
              <w:snapToGrid w:val="0"/>
              <w:spacing w:before="0" w:beforeAutospacing="0" w:after="0" w:afterAutospacing="0"/>
              <w:rPr>
                <w:sz w:val="31"/>
                <w:szCs w:val="31"/>
              </w:rPr>
            </w:pPr>
            <w:r>
              <w:rPr>
                <w:rFonts w:hint="eastAsia" w:ascii="方正仿宋_GBK" w:hAnsi="方正仿宋_GBK" w:eastAsia="方正仿宋_GBK" w:cs="方正仿宋_GBK"/>
                <w:b/>
                <w:bCs/>
                <w:color w:val="000000"/>
                <w:sz w:val="20"/>
                <w:szCs w:val="20"/>
              </w:rPr>
              <w:t>《认证认可条例》第六十</w:t>
            </w:r>
            <w:r>
              <w:rPr>
                <w:rFonts w:hint="eastAsia" w:ascii="方正仿宋_GBK" w:hAnsi="方正仿宋_GBK" w:eastAsia="方正仿宋_GBK" w:cs="方正仿宋_GBK"/>
                <w:b/>
                <w:bCs/>
                <w:color w:val="000000"/>
                <w:sz w:val="20"/>
                <w:szCs w:val="20"/>
                <w:lang w:eastAsia="zh-CN"/>
              </w:rPr>
              <w:t>六</w:t>
            </w:r>
            <w:r>
              <w:rPr>
                <w:rFonts w:hint="eastAsia" w:ascii="方正仿宋_GBK" w:hAnsi="方正仿宋_GBK" w:eastAsia="方正仿宋_GBK" w:cs="方正仿宋_GBK"/>
                <w:b/>
                <w:bCs/>
                <w:color w:val="000000"/>
                <w:sz w:val="20"/>
                <w:szCs w:val="20"/>
              </w:rPr>
              <w:t xml:space="preserve">条 </w:t>
            </w:r>
            <w:r>
              <w:rPr>
                <w:rFonts w:hint="eastAsia" w:ascii="方正仿宋_GBK" w:hAnsi="方正仿宋_GBK" w:eastAsia="方正仿宋_GBK" w:cs="方正仿宋_GBK"/>
                <w:color w:val="000000"/>
                <w:sz w:val="20"/>
                <w:szCs w:val="20"/>
              </w:rPr>
              <w:t>列入目录的产品未经认证，擅自出厂、销售、进口或者在其他经营活动中使用的，责令改正，处</w:t>
            </w:r>
            <w:r>
              <w:rPr>
                <w:rFonts w:hint="eastAsia" w:ascii="方正仿宋_GBK" w:hAnsi="方正仿宋_GBK" w:eastAsia="方正仿宋_GBK" w:cs="方正仿宋_GBK"/>
                <w:color w:val="333333"/>
                <w:sz w:val="20"/>
                <w:szCs w:val="20"/>
              </w:rPr>
              <w:t>5万元以上20万元以下的罚款，有违法所得的，没收违法所得。</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380" w:type="dxa"/>
            <w:vMerge w:val="continue"/>
            <w:tcBorders>
              <w:top w:val="single" w:color="000000" w:sz="6" w:space="0"/>
              <w:left w:val="single" w:color="000000" w:sz="6" w:space="0"/>
              <w:bottom w:val="single" w:color="000000" w:sz="6" w:space="0"/>
              <w:right w:val="single" w:color="000000" w:sz="6" w:space="0"/>
            </w:tcBorders>
            <w:noWrap w:val="0"/>
            <w:tcMar>
              <w:top w:w="14" w:type="dxa"/>
              <w:left w:w="14" w:type="dxa"/>
              <w:right w:w="14" w:type="dxa"/>
            </w:tcMar>
            <w:vAlign w:val="center"/>
          </w:tcPr>
          <w:p>
            <w:pPr>
              <w:snapToGrid w:val="0"/>
              <w:rPr>
                <w:rFonts w:hint="eastAsia" w:ascii="宋体"/>
                <w:color w:val="333333"/>
                <w:sz w:val="24"/>
              </w:rPr>
            </w:pPr>
          </w:p>
        </w:tc>
        <w:tc>
          <w:tcPr>
            <w:tcW w:w="553" w:type="dxa"/>
            <w:vMerge w:val="continue"/>
            <w:tcBorders>
              <w:top w:val="single" w:color="000000" w:sz="6" w:space="0"/>
              <w:left w:val="single" w:color="000000" w:sz="6" w:space="0"/>
              <w:bottom w:val="single" w:color="000000" w:sz="6" w:space="0"/>
              <w:right w:val="single" w:color="000000" w:sz="6" w:space="0"/>
            </w:tcBorders>
            <w:noWrap w:val="0"/>
            <w:tcMar>
              <w:top w:w="14" w:type="dxa"/>
              <w:left w:w="14" w:type="dxa"/>
              <w:right w:w="14" w:type="dxa"/>
            </w:tcMar>
            <w:vAlign w:val="center"/>
          </w:tcPr>
          <w:p>
            <w:pPr>
              <w:snapToGrid w:val="0"/>
              <w:rPr>
                <w:rFonts w:hint="eastAsia" w:ascii="宋体"/>
                <w:color w:val="333333"/>
                <w:sz w:val="24"/>
              </w:rPr>
            </w:pPr>
          </w:p>
        </w:tc>
        <w:tc>
          <w:tcPr>
            <w:tcW w:w="2708" w:type="dxa"/>
            <w:vMerge w:val="continue"/>
            <w:tcBorders>
              <w:top w:val="single" w:color="000000" w:sz="6" w:space="0"/>
              <w:left w:val="single" w:color="000000" w:sz="6" w:space="0"/>
              <w:bottom w:val="single" w:color="000000" w:sz="6" w:space="0"/>
              <w:right w:val="single" w:color="000000" w:sz="6" w:space="0"/>
            </w:tcBorders>
            <w:noWrap w:val="0"/>
            <w:tcMar>
              <w:top w:w="14" w:type="dxa"/>
              <w:left w:w="14" w:type="dxa"/>
              <w:right w:w="14" w:type="dxa"/>
            </w:tcMar>
            <w:vAlign w:val="center"/>
          </w:tcPr>
          <w:p>
            <w:pPr>
              <w:snapToGrid w:val="0"/>
              <w:rPr>
                <w:rFonts w:hint="eastAsia" w:ascii="宋体"/>
                <w:color w:val="333333"/>
                <w:sz w:val="24"/>
              </w:rPr>
            </w:pPr>
          </w:p>
        </w:tc>
        <w:tc>
          <w:tcPr>
            <w:tcW w:w="6559" w:type="dxa"/>
            <w:tcBorders>
              <w:top w:val="single" w:color="000000" w:sz="6" w:space="0"/>
              <w:left w:val="single" w:color="000000" w:sz="6" w:space="0"/>
              <w:bottom w:val="single" w:color="000000" w:sz="6" w:space="0"/>
              <w:right w:val="single" w:color="000000" w:sz="6" w:space="0"/>
            </w:tcBorders>
            <w:noWrap w:val="0"/>
            <w:tcMar>
              <w:top w:w="14" w:type="dxa"/>
              <w:left w:w="14" w:type="dxa"/>
              <w:right w:w="14" w:type="dxa"/>
            </w:tcMar>
            <w:vAlign w:val="center"/>
          </w:tcPr>
          <w:p>
            <w:pPr>
              <w:pStyle w:val="4"/>
              <w:widowControl/>
              <w:snapToGrid w:val="0"/>
              <w:spacing w:before="0" w:beforeAutospacing="0" w:after="0" w:afterAutospacing="0"/>
              <w:rPr>
                <w:sz w:val="31"/>
                <w:szCs w:val="31"/>
              </w:rPr>
            </w:pPr>
            <w:r>
              <w:rPr>
                <w:rFonts w:hint="eastAsia" w:ascii="方正仿宋_GBK" w:hAnsi="方正仿宋_GBK" w:eastAsia="方正仿宋_GBK" w:cs="方正仿宋_GBK"/>
                <w:b/>
                <w:bCs/>
                <w:color w:val="000000"/>
                <w:sz w:val="20"/>
                <w:szCs w:val="20"/>
              </w:rPr>
              <w:t>《认证认可条例》第七十条：</w:t>
            </w:r>
            <w:r>
              <w:rPr>
                <w:rFonts w:hint="eastAsia" w:ascii="方正仿宋_GBK" w:hAnsi="方正仿宋_GBK" w:eastAsia="方正仿宋_GBK" w:cs="方正仿宋_GBK"/>
                <w:color w:val="000000"/>
                <w:sz w:val="20"/>
                <w:szCs w:val="20"/>
              </w:rPr>
              <w:t>伪造、冒用、买卖认证标志或者认证证书的，依照《中华人民共和国产品质量法》等法律的规定查处。”；《产品质量法》第五十三条：伪造产品产地的，伪造或者冒用他人厂名、厂址的，伪造或者冒用认证标志等质量标志的，责令改正，没收违法生产、销售的产品，并处违法生产、销售产品货值金额等值以下的罚款；有违法所得的，并处没收违法所得；情节严重的，吊销营业执照。</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380" w:type="dxa"/>
            <w:vMerge w:val="continue"/>
            <w:tcBorders>
              <w:top w:val="single" w:color="000000" w:sz="6" w:space="0"/>
              <w:left w:val="single" w:color="000000" w:sz="6" w:space="0"/>
              <w:bottom w:val="single" w:color="000000" w:sz="6" w:space="0"/>
              <w:right w:val="single" w:color="000000" w:sz="6" w:space="0"/>
            </w:tcBorders>
            <w:noWrap w:val="0"/>
            <w:tcMar>
              <w:top w:w="14" w:type="dxa"/>
              <w:left w:w="14" w:type="dxa"/>
              <w:right w:w="14" w:type="dxa"/>
            </w:tcMar>
            <w:vAlign w:val="center"/>
          </w:tcPr>
          <w:p>
            <w:pPr>
              <w:snapToGrid w:val="0"/>
              <w:rPr>
                <w:rFonts w:hint="eastAsia" w:ascii="宋体"/>
                <w:color w:val="333333"/>
                <w:sz w:val="24"/>
              </w:rPr>
            </w:pPr>
          </w:p>
        </w:tc>
        <w:tc>
          <w:tcPr>
            <w:tcW w:w="553" w:type="dxa"/>
            <w:vMerge w:val="continue"/>
            <w:tcBorders>
              <w:top w:val="single" w:color="000000" w:sz="6" w:space="0"/>
              <w:left w:val="single" w:color="000000" w:sz="6" w:space="0"/>
              <w:bottom w:val="single" w:color="000000" w:sz="6" w:space="0"/>
              <w:right w:val="single" w:color="000000" w:sz="6" w:space="0"/>
            </w:tcBorders>
            <w:noWrap w:val="0"/>
            <w:tcMar>
              <w:top w:w="14" w:type="dxa"/>
              <w:left w:w="14" w:type="dxa"/>
              <w:right w:w="14" w:type="dxa"/>
            </w:tcMar>
            <w:vAlign w:val="center"/>
          </w:tcPr>
          <w:p>
            <w:pPr>
              <w:snapToGrid w:val="0"/>
              <w:rPr>
                <w:rFonts w:hint="eastAsia" w:ascii="宋体"/>
                <w:color w:val="333333"/>
                <w:sz w:val="24"/>
              </w:rPr>
            </w:pPr>
          </w:p>
        </w:tc>
        <w:tc>
          <w:tcPr>
            <w:tcW w:w="2708" w:type="dxa"/>
            <w:tcBorders>
              <w:top w:val="single" w:color="000000" w:sz="6" w:space="0"/>
              <w:left w:val="single" w:color="000000" w:sz="6" w:space="0"/>
              <w:bottom w:val="single" w:color="000000" w:sz="6" w:space="0"/>
              <w:right w:val="single" w:color="000000" w:sz="6" w:space="0"/>
            </w:tcBorders>
            <w:noWrap w:val="0"/>
            <w:tcMar>
              <w:top w:w="14" w:type="dxa"/>
              <w:left w:w="14" w:type="dxa"/>
              <w:right w:w="14" w:type="dxa"/>
            </w:tcMar>
            <w:vAlign w:val="center"/>
          </w:tcPr>
          <w:p>
            <w:pPr>
              <w:pStyle w:val="4"/>
              <w:widowControl/>
              <w:snapToGrid w:val="0"/>
              <w:spacing w:before="0" w:beforeAutospacing="0" w:after="0" w:afterAutospacing="0"/>
              <w:rPr>
                <w:sz w:val="31"/>
                <w:szCs w:val="31"/>
              </w:rPr>
            </w:pPr>
            <w:r>
              <w:rPr>
                <w:rFonts w:hint="eastAsia" w:ascii="方正仿宋_GBK" w:hAnsi="方正仿宋_GBK" w:eastAsia="方正仿宋_GBK" w:cs="方正仿宋_GBK"/>
                <w:color w:val="000000"/>
                <w:sz w:val="20"/>
                <w:szCs w:val="20"/>
              </w:rPr>
              <w:t>其他违反质量安全领域法律、行政法规规定，严重危害人民群众身体健康和生命安全的违法行为。</w:t>
            </w:r>
          </w:p>
        </w:tc>
        <w:tc>
          <w:tcPr>
            <w:tcW w:w="6559" w:type="dxa"/>
            <w:tcBorders>
              <w:top w:val="single" w:color="000000" w:sz="6" w:space="0"/>
              <w:left w:val="single" w:color="000000" w:sz="6" w:space="0"/>
              <w:bottom w:val="single" w:color="000000" w:sz="6" w:space="0"/>
              <w:right w:val="single" w:color="000000" w:sz="6" w:space="0"/>
            </w:tcBorders>
            <w:noWrap w:val="0"/>
            <w:tcMar>
              <w:top w:w="14" w:type="dxa"/>
              <w:left w:w="14" w:type="dxa"/>
              <w:right w:w="14" w:type="dxa"/>
            </w:tcMar>
            <w:vAlign w:val="center"/>
          </w:tcPr>
          <w:p>
            <w:pPr>
              <w:pStyle w:val="4"/>
              <w:widowControl/>
              <w:snapToGrid w:val="0"/>
              <w:spacing w:before="0" w:beforeAutospacing="0" w:after="0" w:afterAutospacing="0"/>
              <w:rPr>
                <w:sz w:val="31"/>
                <w:szCs w:val="31"/>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380" w:type="dxa"/>
            <w:vMerge w:val="restart"/>
            <w:tcBorders>
              <w:top w:val="single" w:color="000000" w:sz="6" w:space="0"/>
              <w:left w:val="single" w:color="000000" w:sz="6" w:space="0"/>
              <w:bottom w:val="single" w:color="000000" w:sz="6" w:space="0"/>
              <w:right w:val="single" w:color="000000" w:sz="6" w:space="0"/>
            </w:tcBorders>
            <w:noWrap w:val="0"/>
            <w:tcMar>
              <w:top w:w="14" w:type="dxa"/>
              <w:left w:w="14" w:type="dxa"/>
              <w:right w:w="14" w:type="dxa"/>
            </w:tcMar>
            <w:vAlign w:val="center"/>
          </w:tcPr>
          <w:p>
            <w:pPr>
              <w:pStyle w:val="4"/>
              <w:widowControl/>
              <w:snapToGrid w:val="0"/>
              <w:spacing w:before="0" w:beforeAutospacing="0" w:after="0" w:afterAutospacing="0"/>
              <w:jc w:val="center"/>
              <w:rPr>
                <w:sz w:val="31"/>
                <w:szCs w:val="31"/>
              </w:rPr>
            </w:pPr>
            <w:r>
              <w:rPr>
                <w:rFonts w:hint="eastAsia" w:ascii="方正仿宋_GBK" w:hAnsi="方正仿宋_GBK" w:eastAsia="方正仿宋_GBK" w:cs="方正仿宋_GBK"/>
                <w:color w:val="000000"/>
                <w:sz w:val="20"/>
                <w:szCs w:val="20"/>
              </w:rPr>
              <w:t>第八条</w:t>
            </w:r>
          </w:p>
        </w:tc>
        <w:tc>
          <w:tcPr>
            <w:tcW w:w="553" w:type="dxa"/>
            <w:vMerge w:val="restart"/>
            <w:tcBorders>
              <w:top w:val="single" w:color="000000" w:sz="6" w:space="0"/>
              <w:left w:val="single" w:color="000000" w:sz="6" w:space="0"/>
              <w:bottom w:val="single" w:color="000000" w:sz="6" w:space="0"/>
              <w:right w:val="single" w:color="000000" w:sz="6" w:space="0"/>
            </w:tcBorders>
            <w:noWrap w:val="0"/>
            <w:tcMar>
              <w:top w:w="14" w:type="dxa"/>
              <w:left w:w="14" w:type="dxa"/>
              <w:right w:w="14" w:type="dxa"/>
            </w:tcMar>
            <w:vAlign w:val="center"/>
          </w:tcPr>
          <w:p>
            <w:pPr>
              <w:pStyle w:val="4"/>
              <w:widowControl/>
              <w:snapToGrid w:val="0"/>
              <w:spacing w:before="0" w:beforeAutospacing="0" w:after="0" w:afterAutospacing="0"/>
              <w:rPr>
                <w:sz w:val="31"/>
                <w:szCs w:val="31"/>
              </w:rPr>
            </w:pPr>
            <w:r>
              <w:rPr>
                <w:rFonts w:hint="eastAsia" w:ascii="方正仿宋_GBK" w:hAnsi="方正仿宋_GBK" w:eastAsia="方正仿宋_GBK" w:cs="方正仿宋_GBK"/>
                <w:color w:val="000000"/>
                <w:sz w:val="20"/>
                <w:szCs w:val="20"/>
              </w:rPr>
              <w:t>侵害消费者权益的违法行为</w:t>
            </w:r>
          </w:p>
        </w:tc>
        <w:tc>
          <w:tcPr>
            <w:tcW w:w="2708" w:type="dxa"/>
            <w:tcBorders>
              <w:top w:val="single" w:color="000000" w:sz="6" w:space="0"/>
              <w:left w:val="single" w:color="000000" w:sz="6" w:space="0"/>
              <w:bottom w:val="single" w:color="000000" w:sz="6" w:space="0"/>
              <w:right w:val="single" w:color="000000" w:sz="6" w:space="0"/>
            </w:tcBorders>
            <w:noWrap w:val="0"/>
            <w:tcMar>
              <w:top w:w="14" w:type="dxa"/>
              <w:left w:w="14" w:type="dxa"/>
              <w:right w:w="14" w:type="dxa"/>
            </w:tcMar>
            <w:vAlign w:val="center"/>
          </w:tcPr>
          <w:p>
            <w:pPr>
              <w:pStyle w:val="4"/>
              <w:widowControl/>
              <w:snapToGrid w:val="0"/>
              <w:spacing w:before="0" w:beforeAutospacing="0" w:after="0" w:afterAutospacing="0"/>
              <w:rPr>
                <w:sz w:val="31"/>
                <w:szCs w:val="31"/>
              </w:rPr>
            </w:pPr>
            <w:r>
              <w:rPr>
                <w:rFonts w:hint="eastAsia" w:ascii="方正仿宋_GBK" w:hAnsi="方正仿宋_GBK" w:eastAsia="方正仿宋_GBK" w:cs="方正仿宋_GBK"/>
                <w:color w:val="000000"/>
                <w:sz w:val="20"/>
                <w:szCs w:val="20"/>
              </w:rPr>
              <w:t>侵害消费者人格尊严、个人信息依法得到保护等权利</w:t>
            </w:r>
          </w:p>
        </w:tc>
        <w:tc>
          <w:tcPr>
            <w:tcW w:w="6559" w:type="dxa"/>
            <w:tcBorders>
              <w:top w:val="single" w:color="000000" w:sz="6" w:space="0"/>
              <w:left w:val="single" w:color="000000" w:sz="6" w:space="0"/>
              <w:bottom w:val="single" w:color="000000" w:sz="6" w:space="0"/>
              <w:right w:val="single" w:color="000000" w:sz="6" w:space="0"/>
            </w:tcBorders>
            <w:noWrap w:val="0"/>
            <w:tcMar>
              <w:top w:w="14" w:type="dxa"/>
              <w:left w:w="14" w:type="dxa"/>
              <w:right w:w="14" w:type="dxa"/>
            </w:tcMar>
            <w:vAlign w:val="center"/>
          </w:tcPr>
          <w:p>
            <w:pPr>
              <w:pStyle w:val="4"/>
              <w:widowControl/>
              <w:snapToGrid w:val="0"/>
              <w:spacing w:before="0" w:beforeAutospacing="0" w:after="0" w:afterAutospacing="0"/>
              <w:rPr>
                <w:b/>
                <w:bCs/>
                <w:sz w:val="31"/>
                <w:szCs w:val="31"/>
              </w:rPr>
            </w:pPr>
          </w:p>
          <w:p>
            <w:pPr>
              <w:pStyle w:val="4"/>
              <w:widowControl/>
              <w:snapToGrid w:val="0"/>
              <w:spacing w:before="0" w:beforeAutospacing="0" w:after="0" w:afterAutospacing="0"/>
              <w:rPr>
                <w:rFonts w:hint="eastAsia" w:ascii="方正仿宋_GBK" w:hAnsi="方正仿宋_GBK" w:eastAsia="方正仿宋_GBK" w:cs="方正仿宋_GBK"/>
                <w:color w:val="000000"/>
                <w:sz w:val="20"/>
                <w:szCs w:val="20"/>
                <w:lang w:eastAsia="zh-CN"/>
              </w:rPr>
            </w:pPr>
            <w:r>
              <w:rPr>
                <w:rFonts w:hint="eastAsia" w:ascii="方正仿宋_GBK" w:hAnsi="方正仿宋_GBK" w:eastAsia="方正仿宋_GBK" w:cs="方正仿宋_GBK"/>
                <w:b/>
                <w:bCs/>
                <w:color w:val="000000"/>
                <w:sz w:val="20"/>
                <w:szCs w:val="20"/>
              </w:rPr>
              <w:t>《消费者权益保护法》第五十</w:t>
            </w:r>
            <w:r>
              <w:rPr>
                <w:rFonts w:hint="eastAsia" w:ascii="方正仿宋_GBK" w:hAnsi="方正仿宋_GBK" w:eastAsia="方正仿宋_GBK" w:cs="方正仿宋_GBK"/>
                <w:b/>
                <w:bCs/>
                <w:color w:val="000000"/>
                <w:sz w:val="20"/>
                <w:szCs w:val="20"/>
                <w:lang w:eastAsia="zh-CN"/>
              </w:rPr>
              <w:t>五</w:t>
            </w:r>
            <w:r>
              <w:rPr>
                <w:rFonts w:hint="eastAsia" w:ascii="方正仿宋_GBK" w:hAnsi="方正仿宋_GBK" w:eastAsia="方正仿宋_GBK" w:cs="方正仿宋_GBK"/>
                <w:b/>
                <w:bCs/>
                <w:color w:val="000000"/>
                <w:sz w:val="20"/>
                <w:szCs w:val="20"/>
              </w:rPr>
              <w:t>条</w:t>
            </w:r>
            <w:r>
              <w:rPr>
                <w:rFonts w:hint="eastAsia" w:ascii="方正仿宋_GBK" w:hAnsi="方正仿宋_GBK" w:eastAsia="方正仿宋_GBK" w:cs="方正仿宋_GBK"/>
                <w:color w:val="000000"/>
                <w:sz w:val="20"/>
                <w:szCs w:val="20"/>
              </w:rPr>
              <w:t>：经营者提供商品或者服务有欺诈行为的，应当按照消费者的要求增加赔偿其受到的损失，增加赔偿的金额为消费者购买商品的价款或者接受服务的费用的三倍；增加赔偿的金额不足五百元的，为五百元。法律另有规定的，依照其规定。</w:t>
            </w:r>
          </w:p>
          <w:p>
            <w:pPr>
              <w:pStyle w:val="4"/>
              <w:widowControl/>
              <w:snapToGrid w:val="0"/>
              <w:spacing w:before="0" w:beforeAutospacing="0" w:after="0" w:afterAutospacing="0"/>
              <w:rPr>
                <w:rFonts w:hint="eastAsia" w:ascii="方正仿宋_GBK" w:hAnsi="方正仿宋_GBK" w:eastAsia="方正仿宋_GBK" w:cs="方正仿宋_GBK"/>
                <w:color w:val="333333"/>
                <w:sz w:val="20"/>
                <w:szCs w:val="20"/>
              </w:rPr>
            </w:pPr>
            <w:r>
              <w:rPr>
                <w:rFonts w:hint="eastAsia" w:ascii="方正仿宋_GBK" w:hAnsi="方正仿宋_GBK" w:eastAsia="方正仿宋_GBK" w:cs="方正仿宋_GBK"/>
                <w:color w:val="333333"/>
                <w:sz w:val="20"/>
                <w:szCs w:val="20"/>
              </w:rPr>
              <w:t>经营者明知商品或者服务存在缺陷，仍然向消费者提供，造成消费者或者其他受害人死亡或者健康严重损害的，受害人有权要求经营者依照本法第四十九条、第五十一条等法律规定赔偿损失，并有权要求所受损失二倍以下的惩罚性赔偿。</w:t>
            </w:r>
          </w:p>
          <w:p>
            <w:pPr>
              <w:pStyle w:val="4"/>
              <w:widowControl/>
              <w:snapToGrid w:val="0"/>
              <w:spacing w:before="0" w:beforeAutospacing="0" w:after="0" w:afterAutospacing="0"/>
              <w:rPr>
                <w:sz w:val="31"/>
                <w:szCs w:val="31"/>
              </w:rPr>
            </w:pPr>
            <w:r>
              <w:rPr>
                <w:rFonts w:hint="eastAsia" w:ascii="方正仿宋_GBK" w:hAnsi="方正仿宋_GBK" w:eastAsia="方正仿宋_GBK" w:cs="方正仿宋_GBK"/>
                <w:b/>
                <w:bCs/>
                <w:color w:val="000000"/>
                <w:sz w:val="20"/>
                <w:szCs w:val="20"/>
              </w:rPr>
              <w:t>第五十</w:t>
            </w:r>
            <w:r>
              <w:rPr>
                <w:rFonts w:hint="eastAsia" w:ascii="方正仿宋_GBK" w:hAnsi="方正仿宋_GBK" w:eastAsia="方正仿宋_GBK" w:cs="方正仿宋_GBK"/>
                <w:b/>
                <w:bCs/>
                <w:color w:val="000000"/>
                <w:sz w:val="20"/>
                <w:szCs w:val="20"/>
                <w:lang w:eastAsia="zh-CN"/>
              </w:rPr>
              <w:t>六</w:t>
            </w:r>
            <w:r>
              <w:rPr>
                <w:rFonts w:hint="eastAsia" w:ascii="方正仿宋_GBK" w:hAnsi="方正仿宋_GBK" w:eastAsia="方正仿宋_GBK" w:cs="方正仿宋_GBK"/>
                <w:b/>
                <w:bCs/>
                <w:color w:val="000000"/>
                <w:sz w:val="20"/>
                <w:szCs w:val="20"/>
              </w:rPr>
              <w:t>条</w:t>
            </w:r>
            <w:r>
              <w:rPr>
                <w:rFonts w:hint="eastAsia" w:ascii="方正仿宋_GBK" w:hAnsi="方正仿宋_GBK" w:eastAsia="方正仿宋_GBK" w:cs="方正仿宋_GBK"/>
                <w:b/>
                <w:bCs/>
                <w:color w:val="333333"/>
                <w:sz w:val="20"/>
                <w:szCs w:val="20"/>
              </w:rPr>
              <w:t>（九）</w:t>
            </w:r>
            <w:r>
              <w:rPr>
                <w:rFonts w:hint="eastAsia" w:ascii="方正仿宋_GBK" w:hAnsi="方正仿宋_GBK" w:eastAsia="方正仿宋_GBK" w:cs="方正仿宋_GBK"/>
                <w:color w:val="333333"/>
                <w:sz w:val="20"/>
                <w:szCs w:val="20"/>
              </w:rPr>
              <w:t>侵害消费者人格尊严、侵犯消费者人身自由或者侵害消费者个人信息依法得到保护的权利的；</w:t>
            </w:r>
          </w:p>
          <w:p>
            <w:pPr>
              <w:pStyle w:val="4"/>
              <w:widowControl/>
              <w:snapToGrid w:val="0"/>
              <w:spacing w:before="0" w:beforeAutospacing="0" w:after="0" w:afterAutospacing="0"/>
              <w:rPr>
                <w:sz w:val="31"/>
                <w:szCs w:val="31"/>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380" w:type="dxa"/>
            <w:vMerge w:val="continue"/>
            <w:tcBorders>
              <w:top w:val="single" w:color="000000" w:sz="6" w:space="0"/>
              <w:left w:val="single" w:color="000000" w:sz="6" w:space="0"/>
              <w:bottom w:val="single" w:color="000000" w:sz="6" w:space="0"/>
              <w:right w:val="single" w:color="000000" w:sz="6" w:space="0"/>
            </w:tcBorders>
            <w:noWrap w:val="0"/>
            <w:tcMar>
              <w:top w:w="14" w:type="dxa"/>
              <w:left w:w="14" w:type="dxa"/>
              <w:right w:w="14" w:type="dxa"/>
            </w:tcMar>
            <w:vAlign w:val="center"/>
          </w:tcPr>
          <w:p>
            <w:pPr>
              <w:snapToGrid w:val="0"/>
              <w:rPr>
                <w:rFonts w:hint="eastAsia" w:ascii="宋体"/>
                <w:color w:val="333333"/>
                <w:sz w:val="24"/>
              </w:rPr>
            </w:pPr>
          </w:p>
        </w:tc>
        <w:tc>
          <w:tcPr>
            <w:tcW w:w="553" w:type="dxa"/>
            <w:vMerge w:val="continue"/>
            <w:tcBorders>
              <w:top w:val="single" w:color="000000" w:sz="6" w:space="0"/>
              <w:left w:val="single" w:color="000000" w:sz="6" w:space="0"/>
              <w:bottom w:val="single" w:color="000000" w:sz="6" w:space="0"/>
              <w:right w:val="single" w:color="000000" w:sz="6" w:space="0"/>
            </w:tcBorders>
            <w:noWrap w:val="0"/>
            <w:tcMar>
              <w:top w:w="14" w:type="dxa"/>
              <w:left w:w="14" w:type="dxa"/>
              <w:right w:w="14" w:type="dxa"/>
            </w:tcMar>
            <w:vAlign w:val="center"/>
          </w:tcPr>
          <w:p>
            <w:pPr>
              <w:snapToGrid w:val="0"/>
              <w:rPr>
                <w:rFonts w:hint="eastAsia" w:ascii="宋体"/>
                <w:color w:val="333333"/>
                <w:sz w:val="24"/>
              </w:rPr>
            </w:pPr>
          </w:p>
        </w:tc>
        <w:tc>
          <w:tcPr>
            <w:tcW w:w="2708" w:type="dxa"/>
            <w:tcBorders>
              <w:top w:val="single" w:color="000000" w:sz="6" w:space="0"/>
              <w:left w:val="single" w:color="000000" w:sz="6" w:space="0"/>
              <w:bottom w:val="single" w:color="000000" w:sz="6" w:space="0"/>
              <w:right w:val="single" w:color="000000" w:sz="6" w:space="0"/>
            </w:tcBorders>
            <w:noWrap w:val="0"/>
            <w:tcMar>
              <w:top w:w="14" w:type="dxa"/>
              <w:left w:w="14" w:type="dxa"/>
              <w:right w:w="14" w:type="dxa"/>
            </w:tcMar>
            <w:vAlign w:val="center"/>
          </w:tcPr>
          <w:p>
            <w:pPr>
              <w:pStyle w:val="4"/>
              <w:widowControl/>
              <w:snapToGrid w:val="0"/>
              <w:spacing w:before="0" w:beforeAutospacing="0" w:after="0" w:afterAutospacing="0"/>
              <w:rPr>
                <w:sz w:val="31"/>
                <w:szCs w:val="31"/>
              </w:rPr>
            </w:pPr>
            <w:r>
              <w:rPr>
                <w:rFonts w:hint="eastAsia" w:ascii="方正仿宋_GBK" w:hAnsi="方正仿宋_GBK" w:eastAsia="方正仿宋_GBK" w:cs="方正仿宋_GBK"/>
                <w:color w:val="000000"/>
                <w:sz w:val="20"/>
                <w:szCs w:val="20"/>
              </w:rPr>
              <w:t>预收费用后为逃避或者拒绝履行义务，关门停业或者迁移服务场所，未按照约定提供商品或者服务，且被市场监督管理部门确认为无法取得联系；</w:t>
            </w:r>
          </w:p>
        </w:tc>
        <w:tc>
          <w:tcPr>
            <w:tcW w:w="6559" w:type="dxa"/>
            <w:tcBorders>
              <w:top w:val="single" w:color="000000" w:sz="6" w:space="0"/>
              <w:left w:val="single" w:color="000000" w:sz="6" w:space="0"/>
              <w:bottom w:val="single" w:color="000000" w:sz="6" w:space="0"/>
              <w:right w:val="single" w:color="000000" w:sz="6" w:space="0"/>
            </w:tcBorders>
            <w:noWrap w:val="0"/>
            <w:tcMar>
              <w:top w:w="14" w:type="dxa"/>
              <w:left w:w="14" w:type="dxa"/>
              <w:right w:w="14" w:type="dxa"/>
            </w:tcMar>
            <w:vAlign w:val="center"/>
          </w:tcPr>
          <w:p>
            <w:pPr>
              <w:pStyle w:val="4"/>
              <w:widowControl/>
              <w:snapToGrid w:val="0"/>
              <w:spacing w:before="0" w:beforeAutospacing="0" w:after="0" w:afterAutospacing="0"/>
              <w:rPr>
                <w:sz w:val="31"/>
                <w:szCs w:val="31"/>
              </w:rPr>
            </w:pPr>
            <w:r>
              <w:rPr>
                <w:rFonts w:hint="eastAsia" w:ascii="方正仿宋_GBK" w:hAnsi="方正仿宋_GBK" w:eastAsia="方正仿宋_GBK" w:cs="方正仿宋_GBK"/>
                <w:b/>
                <w:bCs/>
                <w:color w:val="000000"/>
                <w:sz w:val="20"/>
                <w:szCs w:val="20"/>
              </w:rPr>
              <w:t>《消费者权益保护法》第五十六条</w:t>
            </w:r>
            <w:r>
              <w:rPr>
                <w:rFonts w:hint="eastAsia" w:ascii="方正仿宋_GBK" w:hAnsi="方正仿宋_GBK" w:eastAsia="方正仿宋_GBK" w:cs="方正仿宋_GBK"/>
                <w:color w:val="000000"/>
                <w:sz w:val="20"/>
                <w:szCs w:val="20"/>
              </w:rPr>
              <w:t>：经营者有下列情形之一，除承担相应的民事责任外，其他有关法律、法规对处罚机关和处罚方式有规定的，依照法律、法规的规定执行；法律、法规未作规定的，由工商行政管理部门或者其他有关行政部门责令改正，可以根据情节单处或者并处警告、没收违法所得、处以违法所得一倍以上十倍以下的罚款，没有违法所得的，处以五十万元以下的罚款；情节严重的，责令停业整顿、吊销营业执照：</w:t>
            </w:r>
          </w:p>
          <w:p>
            <w:pPr>
              <w:pStyle w:val="4"/>
              <w:widowControl/>
              <w:snapToGrid w:val="0"/>
              <w:spacing w:before="0" w:beforeAutospacing="0" w:after="0" w:afterAutospacing="0"/>
              <w:rPr>
                <w:sz w:val="31"/>
                <w:szCs w:val="31"/>
              </w:rPr>
            </w:pPr>
            <w:r>
              <w:rPr>
                <w:rFonts w:hint="eastAsia" w:ascii="方正仿宋_GBK" w:hAnsi="方正仿宋_GBK" w:eastAsia="方正仿宋_GBK" w:cs="方正仿宋_GBK"/>
                <w:color w:val="000000"/>
                <w:sz w:val="20"/>
                <w:szCs w:val="20"/>
              </w:rPr>
              <w:t>（一）提供的商品或者服务不符合保障人身、财产安全要求的；</w:t>
            </w:r>
          </w:p>
          <w:p>
            <w:pPr>
              <w:pStyle w:val="4"/>
              <w:widowControl/>
              <w:snapToGrid w:val="0"/>
              <w:spacing w:before="0" w:beforeAutospacing="0" w:after="0" w:afterAutospacing="0"/>
              <w:rPr>
                <w:sz w:val="31"/>
                <w:szCs w:val="31"/>
              </w:rPr>
            </w:pPr>
            <w:r>
              <w:rPr>
                <w:rFonts w:hint="eastAsia" w:ascii="方正仿宋_GBK" w:hAnsi="方正仿宋_GBK" w:eastAsia="方正仿宋_GBK" w:cs="方正仿宋_GBK"/>
                <w:color w:val="000000"/>
                <w:sz w:val="20"/>
                <w:szCs w:val="20"/>
              </w:rPr>
              <w:t>（二）在商品中掺杂、掺假，以假充真，以次充好，或者以不合格商品冒充合格商品的；</w:t>
            </w:r>
          </w:p>
          <w:p>
            <w:pPr>
              <w:pStyle w:val="4"/>
              <w:widowControl/>
              <w:snapToGrid w:val="0"/>
              <w:spacing w:before="0" w:beforeAutospacing="0" w:after="0" w:afterAutospacing="0"/>
              <w:rPr>
                <w:sz w:val="31"/>
                <w:szCs w:val="31"/>
              </w:rPr>
            </w:pPr>
            <w:r>
              <w:rPr>
                <w:rFonts w:hint="eastAsia" w:ascii="方正仿宋_GBK" w:hAnsi="方正仿宋_GBK" w:eastAsia="方正仿宋_GBK" w:cs="方正仿宋_GBK"/>
                <w:color w:val="000000"/>
                <w:sz w:val="20"/>
                <w:szCs w:val="20"/>
              </w:rPr>
              <w:t>（三）生产国家明令淘汰的商品或者销售失效、变质的商品的；</w:t>
            </w:r>
          </w:p>
          <w:p>
            <w:pPr>
              <w:pStyle w:val="4"/>
              <w:widowControl/>
              <w:snapToGrid w:val="0"/>
              <w:spacing w:before="0" w:beforeAutospacing="0" w:after="0" w:afterAutospacing="0"/>
              <w:rPr>
                <w:sz w:val="31"/>
                <w:szCs w:val="31"/>
              </w:rPr>
            </w:pPr>
            <w:r>
              <w:rPr>
                <w:rFonts w:hint="eastAsia" w:ascii="方正仿宋_GBK" w:hAnsi="方正仿宋_GBK" w:eastAsia="方正仿宋_GBK" w:cs="方正仿宋_GBK"/>
                <w:color w:val="000000"/>
                <w:sz w:val="20"/>
                <w:szCs w:val="20"/>
              </w:rPr>
              <w:t>（四）伪造商品的产地，伪造或者冒用他人的厂名、厂址，篡改生产日期，伪造或者冒用认证标志等质量标志的；</w:t>
            </w:r>
          </w:p>
          <w:p>
            <w:pPr>
              <w:pStyle w:val="4"/>
              <w:widowControl/>
              <w:snapToGrid w:val="0"/>
              <w:spacing w:before="0" w:beforeAutospacing="0" w:after="0" w:afterAutospacing="0"/>
              <w:rPr>
                <w:sz w:val="31"/>
                <w:szCs w:val="31"/>
              </w:rPr>
            </w:pPr>
            <w:r>
              <w:rPr>
                <w:rFonts w:hint="eastAsia" w:ascii="方正仿宋_GBK" w:hAnsi="方正仿宋_GBK" w:eastAsia="方正仿宋_GBK" w:cs="方正仿宋_GBK"/>
                <w:color w:val="000000"/>
                <w:sz w:val="20"/>
                <w:szCs w:val="20"/>
              </w:rPr>
              <w:t>（五）销售的商品应当检验、检疫而未检验、检疫或者伪造检验、检疫结果的；</w:t>
            </w:r>
          </w:p>
          <w:p>
            <w:pPr>
              <w:pStyle w:val="4"/>
              <w:widowControl/>
              <w:snapToGrid w:val="0"/>
              <w:spacing w:before="0" w:beforeAutospacing="0" w:after="0" w:afterAutospacing="0"/>
              <w:rPr>
                <w:sz w:val="31"/>
                <w:szCs w:val="31"/>
              </w:rPr>
            </w:pPr>
            <w:r>
              <w:rPr>
                <w:rFonts w:hint="eastAsia" w:ascii="方正仿宋_GBK" w:hAnsi="方正仿宋_GBK" w:eastAsia="方正仿宋_GBK" w:cs="方正仿宋_GBK"/>
                <w:color w:val="000000"/>
                <w:sz w:val="20"/>
                <w:szCs w:val="20"/>
              </w:rPr>
              <w:t>（六）对商品或者服务作虚假或者引人误解的宣传的；</w:t>
            </w:r>
          </w:p>
          <w:p>
            <w:pPr>
              <w:pStyle w:val="4"/>
              <w:widowControl/>
              <w:snapToGrid w:val="0"/>
              <w:spacing w:before="0" w:beforeAutospacing="0" w:after="0" w:afterAutospacing="0"/>
              <w:rPr>
                <w:sz w:val="31"/>
                <w:szCs w:val="31"/>
              </w:rPr>
            </w:pPr>
            <w:r>
              <w:rPr>
                <w:rFonts w:hint="eastAsia" w:ascii="方正仿宋_GBK" w:hAnsi="方正仿宋_GBK" w:eastAsia="方正仿宋_GBK" w:cs="方正仿宋_GBK"/>
                <w:color w:val="000000"/>
                <w:sz w:val="20"/>
                <w:szCs w:val="20"/>
              </w:rPr>
              <w:t>（七）拒绝或者拖延有关行政部门责令对缺陷商品或者服务采取停止销售、警示、召回、无害化处理、销毁、停止生产或者服务等措施的；</w:t>
            </w:r>
          </w:p>
          <w:p>
            <w:pPr>
              <w:pStyle w:val="4"/>
              <w:widowControl/>
              <w:snapToGrid w:val="0"/>
              <w:spacing w:before="0" w:beforeAutospacing="0" w:after="0" w:afterAutospacing="0"/>
              <w:rPr>
                <w:sz w:val="31"/>
                <w:szCs w:val="31"/>
              </w:rPr>
            </w:pPr>
            <w:r>
              <w:rPr>
                <w:rFonts w:hint="eastAsia" w:ascii="方正仿宋_GBK" w:hAnsi="方正仿宋_GBK" w:eastAsia="方正仿宋_GBK" w:cs="方正仿宋_GBK"/>
                <w:color w:val="000000"/>
                <w:sz w:val="20"/>
                <w:szCs w:val="20"/>
              </w:rPr>
              <w:t>（八）对消费者提出的修理、重作、更换、退货、补足商品数量、退还货款和服务费用或者赔偿损失的要求，故意拖延或者无理拒绝的；</w:t>
            </w:r>
          </w:p>
          <w:p>
            <w:pPr>
              <w:pStyle w:val="4"/>
              <w:widowControl/>
              <w:snapToGrid w:val="0"/>
              <w:spacing w:before="0" w:beforeAutospacing="0" w:after="0" w:afterAutospacing="0"/>
              <w:rPr>
                <w:sz w:val="31"/>
                <w:szCs w:val="31"/>
              </w:rPr>
            </w:pPr>
            <w:r>
              <w:rPr>
                <w:rFonts w:hint="eastAsia" w:ascii="方正仿宋_GBK" w:hAnsi="方正仿宋_GBK" w:eastAsia="方正仿宋_GBK" w:cs="方正仿宋_GBK"/>
                <w:color w:val="000000"/>
                <w:sz w:val="20"/>
                <w:szCs w:val="20"/>
              </w:rPr>
              <w:t>（九）侵害消费者人格尊严、侵犯消费者人身自由或者侵害消费者个人信息依法得到保护的权利的；</w:t>
            </w:r>
          </w:p>
          <w:p>
            <w:pPr>
              <w:pStyle w:val="4"/>
              <w:widowControl/>
              <w:snapToGrid w:val="0"/>
              <w:spacing w:before="0" w:beforeAutospacing="0" w:after="0" w:afterAutospacing="0"/>
              <w:rPr>
                <w:sz w:val="31"/>
                <w:szCs w:val="31"/>
              </w:rPr>
            </w:pPr>
            <w:r>
              <w:rPr>
                <w:rFonts w:hint="eastAsia" w:ascii="方正仿宋_GBK" w:hAnsi="方正仿宋_GBK" w:eastAsia="方正仿宋_GBK" w:cs="方正仿宋_GBK"/>
                <w:color w:val="000000"/>
                <w:sz w:val="20"/>
                <w:szCs w:val="20"/>
              </w:rPr>
              <w:t>（十）法律、法规规定的对损害消费者权益应当予以处罚的其他情形。</w:t>
            </w:r>
          </w:p>
          <w:p>
            <w:pPr>
              <w:pStyle w:val="4"/>
              <w:widowControl/>
              <w:snapToGrid w:val="0"/>
              <w:spacing w:before="0" w:beforeAutospacing="0" w:after="0" w:afterAutospacing="0"/>
              <w:rPr>
                <w:sz w:val="31"/>
                <w:szCs w:val="31"/>
              </w:rPr>
            </w:pPr>
            <w:r>
              <w:rPr>
                <w:rFonts w:hint="eastAsia" w:ascii="方正仿宋_GBK" w:hAnsi="方正仿宋_GBK" w:eastAsia="方正仿宋_GBK" w:cs="方正仿宋_GBK"/>
                <w:color w:val="000000"/>
                <w:sz w:val="20"/>
                <w:szCs w:val="20"/>
              </w:rPr>
              <w:t>经营者有前款规定情形的，除依照法律、法规规定予以处罚外，处罚机关应当记入信用档案，向社会公布。</w:t>
            </w:r>
          </w:p>
          <w:p>
            <w:pPr>
              <w:pStyle w:val="4"/>
              <w:widowControl/>
              <w:snapToGrid w:val="0"/>
              <w:spacing w:before="0" w:beforeAutospacing="0" w:after="0" w:afterAutospacing="0"/>
              <w:rPr>
                <w:sz w:val="31"/>
                <w:szCs w:val="31"/>
              </w:rPr>
            </w:pPr>
            <w:r>
              <w:rPr>
                <w:rFonts w:hint="eastAsia" w:ascii="方正仿宋_GBK" w:hAnsi="方正仿宋_GBK" w:eastAsia="方正仿宋_GBK" w:cs="方正仿宋_GBK"/>
                <w:b/>
                <w:bCs/>
                <w:color w:val="000000"/>
                <w:sz w:val="20"/>
                <w:szCs w:val="20"/>
              </w:rPr>
              <w:t>《侵害消费者权益行为处罚办法》第十条</w:t>
            </w:r>
            <w:r>
              <w:rPr>
                <w:rFonts w:hint="eastAsia" w:ascii="方正仿宋_GBK" w:hAnsi="方正仿宋_GBK" w:eastAsia="方正仿宋_GBK" w:cs="方正仿宋_GBK"/>
                <w:color w:val="000000"/>
                <w:sz w:val="20"/>
                <w:szCs w:val="20"/>
              </w:rPr>
              <w:t>：经营者以预收款方式提供商品或者服务，应当与消费者明确约定商品或者服务的数量和质量、价款或者费用、履行期限和方式、安全注意事项和风险警示、售后服务、民事责任等内容。未按约定提供商品或者服务的，应当按照消费者的要求履行约定或者退回预付款，并应当承担预付款的利息、消费者必须支付的合理费用。对退款无约定的，按照有利于消费者的计算方式折算退款金额。经营者对消费者提出的合理退款要求，明确表示不予退款，或者自约定期满之日起、无约定期限的自消费者提出退款要求之日起超过十五日未退款的，视为故意拖延或者无理拒绝。</w:t>
            </w:r>
          </w:p>
          <w:p>
            <w:pPr>
              <w:pStyle w:val="4"/>
              <w:widowControl/>
              <w:snapToGrid w:val="0"/>
              <w:spacing w:before="0" w:beforeAutospacing="0" w:after="0" w:afterAutospacing="0"/>
              <w:rPr>
                <w:sz w:val="31"/>
                <w:szCs w:val="31"/>
              </w:rPr>
            </w:pPr>
            <w:r>
              <w:rPr>
                <w:rFonts w:hint="eastAsia" w:ascii="方正仿宋_GBK" w:hAnsi="方正仿宋_GBK" w:eastAsia="方正仿宋_GBK" w:cs="方正仿宋_GBK"/>
                <w:b/>
                <w:bCs/>
                <w:color w:val="000000"/>
                <w:sz w:val="20"/>
                <w:szCs w:val="20"/>
              </w:rPr>
              <w:t>《侵害消费者权益行为处罚办法》第十四条</w:t>
            </w:r>
            <w:r>
              <w:rPr>
                <w:rFonts w:hint="eastAsia" w:ascii="方正仿宋_GBK" w:hAnsi="方正仿宋_GBK" w:eastAsia="方正仿宋_GBK" w:cs="方正仿宋_GBK"/>
                <w:color w:val="000000"/>
                <w:sz w:val="20"/>
                <w:szCs w:val="20"/>
              </w:rPr>
              <w:t>：经营者有本办法第五条至第十一条规定的情形之一，其他法律、法规有规定的，依照法律、法规的规定执行；法律、法规未作规定的，由市场监督管理部门依照《消费者权益保护法》第五十六条予以处罚。</w:t>
            </w:r>
          </w:p>
          <w:p>
            <w:pPr>
              <w:pStyle w:val="4"/>
              <w:widowControl/>
              <w:snapToGrid w:val="0"/>
              <w:spacing w:before="0" w:beforeAutospacing="0" w:after="0" w:afterAutospacing="0"/>
              <w:rPr>
                <w:sz w:val="31"/>
                <w:szCs w:val="31"/>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380" w:type="dxa"/>
            <w:vMerge w:val="continue"/>
            <w:tcBorders>
              <w:top w:val="single" w:color="000000" w:sz="6" w:space="0"/>
              <w:left w:val="single" w:color="000000" w:sz="6" w:space="0"/>
              <w:bottom w:val="single" w:color="000000" w:sz="6" w:space="0"/>
              <w:right w:val="single" w:color="000000" w:sz="6" w:space="0"/>
            </w:tcBorders>
            <w:noWrap w:val="0"/>
            <w:tcMar>
              <w:top w:w="14" w:type="dxa"/>
              <w:left w:w="14" w:type="dxa"/>
              <w:right w:w="14" w:type="dxa"/>
            </w:tcMar>
            <w:vAlign w:val="center"/>
          </w:tcPr>
          <w:p>
            <w:pPr>
              <w:snapToGrid w:val="0"/>
              <w:rPr>
                <w:rFonts w:hint="eastAsia" w:ascii="宋体"/>
                <w:color w:val="333333"/>
                <w:sz w:val="24"/>
              </w:rPr>
            </w:pPr>
          </w:p>
        </w:tc>
        <w:tc>
          <w:tcPr>
            <w:tcW w:w="553" w:type="dxa"/>
            <w:vMerge w:val="continue"/>
            <w:tcBorders>
              <w:top w:val="single" w:color="000000" w:sz="6" w:space="0"/>
              <w:left w:val="single" w:color="000000" w:sz="6" w:space="0"/>
              <w:bottom w:val="single" w:color="000000" w:sz="6" w:space="0"/>
              <w:right w:val="single" w:color="000000" w:sz="6" w:space="0"/>
            </w:tcBorders>
            <w:noWrap w:val="0"/>
            <w:tcMar>
              <w:top w:w="14" w:type="dxa"/>
              <w:left w:w="14" w:type="dxa"/>
              <w:right w:w="14" w:type="dxa"/>
            </w:tcMar>
            <w:vAlign w:val="center"/>
          </w:tcPr>
          <w:p>
            <w:pPr>
              <w:snapToGrid w:val="0"/>
              <w:rPr>
                <w:rFonts w:hint="eastAsia" w:ascii="宋体"/>
                <w:color w:val="333333"/>
                <w:sz w:val="24"/>
              </w:rPr>
            </w:pPr>
          </w:p>
        </w:tc>
        <w:tc>
          <w:tcPr>
            <w:tcW w:w="2708" w:type="dxa"/>
            <w:tcBorders>
              <w:top w:val="single" w:color="000000" w:sz="6" w:space="0"/>
              <w:left w:val="single" w:color="000000" w:sz="6" w:space="0"/>
              <w:bottom w:val="single" w:color="000000" w:sz="6" w:space="0"/>
              <w:right w:val="single" w:color="000000" w:sz="6" w:space="0"/>
            </w:tcBorders>
            <w:noWrap w:val="0"/>
            <w:tcMar>
              <w:top w:w="14" w:type="dxa"/>
              <w:left w:w="14" w:type="dxa"/>
              <w:right w:w="14" w:type="dxa"/>
            </w:tcMar>
            <w:vAlign w:val="center"/>
          </w:tcPr>
          <w:p>
            <w:pPr>
              <w:pStyle w:val="4"/>
              <w:widowControl/>
              <w:snapToGrid w:val="0"/>
              <w:spacing w:before="0" w:beforeAutospacing="0" w:after="0" w:afterAutospacing="0"/>
              <w:rPr>
                <w:sz w:val="31"/>
                <w:szCs w:val="31"/>
              </w:rPr>
            </w:pPr>
            <w:r>
              <w:rPr>
                <w:rFonts w:hint="eastAsia" w:ascii="方正仿宋_GBK" w:hAnsi="方正仿宋_GBK" w:eastAsia="方正仿宋_GBK" w:cs="方正仿宋_GBK"/>
                <w:color w:val="000000"/>
                <w:sz w:val="20"/>
                <w:szCs w:val="20"/>
              </w:rPr>
              <w:t>制造、销售、使用以欺骗消费者为目的的计量器具；抄袭、串通、篡改计量比对数据，伪造数据、出具虚假计量校准证书或者报告，侵害消费者权益；</w:t>
            </w:r>
          </w:p>
        </w:tc>
        <w:tc>
          <w:tcPr>
            <w:tcW w:w="6559" w:type="dxa"/>
            <w:tcBorders>
              <w:top w:val="single" w:color="000000" w:sz="6" w:space="0"/>
              <w:left w:val="single" w:color="000000" w:sz="6" w:space="0"/>
              <w:bottom w:val="single" w:color="000000" w:sz="6" w:space="0"/>
              <w:right w:val="single" w:color="000000" w:sz="6" w:space="0"/>
            </w:tcBorders>
            <w:noWrap w:val="0"/>
            <w:tcMar>
              <w:top w:w="14" w:type="dxa"/>
              <w:left w:w="14" w:type="dxa"/>
              <w:right w:w="14" w:type="dxa"/>
            </w:tcMar>
            <w:vAlign w:val="center"/>
          </w:tcPr>
          <w:p>
            <w:pPr>
              <w:pStyle w:val="4"/>
              <w:widowControl/>
              <w:snapToGrid w:val="0"/>
              <w:spacing w:before="0" w:beforeAutospacing="0" w:after="0" w:afterAutospacing="0"/>
              <w:rPr>
                <w:rFonts w:hint="eastAsia" w:ascii="方正仿宋_GBK" w:hAnsi="方正仿宋_GBK" w:eastAsia="方正仿宋_GBK" w:cs="方正仿宋_GBK"/>
                <w:color w:val="000000"/>
                <w:sz w:val="20"/>
                <w:szCs w:val="20"/>
                <w:lang w:eastAsia="zh-CN"/>
              </w:rPr>
            </w:pPr>
            <w:r>
              <w:rPr>
                <w:rFonts w:hint="eastAsia" w:ascii="方正仿宋_GBK" w:hAnsi="方正仿宋_GBK" w:eastAsia="方正仿宋_GBK" w:cs="方正仿宋_GBK"/>
                <w:b/>
                <w:bCs/>
                <w:color w:val="000000"/>
                <w:sz w:val="20"/>
                <w:szCs w:val="20"/>
              </w:rPr>
              <w:t>《计量法》第二十七条</w:t>
            </w:r>
            <w:r>
              <w:rPr>
                <w:rFonts w:hint="eastAsia" w:ascii="方正仿宋_GBK" w:hAnsi="方正仿宋_GBK" w:eastAsia="方正仿宋_GBK" w:cs="方正仿宋_GBK"/>
                <w:color w:val="000000"/>
                <w:sz w:val="20"/>
                <w:szCs w:val="20"/>
              </w:rPr>
              <w:t>： 制造、销售、使用以欺骗消费者为目的的计量器具的，没收计量器具和违法所得，处以罚款；情节严重的，并对个人或者单位直接责任人员依照刑法有关规定追究刑事责任。</w:t>
            </w:r>
          </w:p>
          <w:p>
            <w:pPr>
              <w:pStyle w:val="4"/>
              <w:widowControl/>
              <w:snapToGrid w:val="0"/>
              <w:spacing w:before="0" w:beforeAutospacing="0" w:after="0" w:afterAutospacing="0"/>
              <w:rPr>
                <w:sz w:val="31"/>
                <w:szCs w:val="31"/>
              </w:rPr>
            </w:pPr>
            <w:r>
              <w:rPr>
                <w:rFonts w:hint="eastAsia" w:ascii="方正仿宋_GBK" w:hAnsi="方正仿宋_GBK" w:eastAsia="方正仿宋_GBK" w:cs="方正仿宋_GBK"/>
                <w:b/>
                <w:bCs/>
                <w:color w:val="333333"/>
                <w:sz w:val="20"/>
                <w:szCs w:val="20"/>
              </w:rPr>
              <w:t>《计量法实施细则》第四十八条</w:t>
            </w:r>
            <w:r>
              <w:rPr>
                <w:rFonts w:hint="eastAsia" w:ascii="方正仿宋_GBK" w:hAnsi="方正仿宋_GBK" w:eastAsia="方正仿宋_GBK" w:cs="方正仿宋_GBK"/>
                <w:color w:val="333333"/>
                <w:sz w:val="20"/>
                <w:szCs w:val="20"/>
              </w:rPr>
              <w:t>：制造、销售、使用以欺骗消费者为目的的计量器具的单位和个人，没收其计量器具和全部违法所得，可并处2000元以下的罚款；构成犯罪的，对个人或者单位直接责任人员，依法追究刑事责任。</w:t>
            </w:r>
          </w:p>
          <w:p>
            <w:pPr>
              <w:pStyle w:val="4"/>
              <w:widowControl/>
              <w:snapToGrid w:val="0"/>
              <w:spacing w:before="0" w:beforeAutospacing="0" w:after="0" w:afterAutospacing="0"/>
              <w:rPr>
                <w:rFonts w:hint="eastAsia" w:ascii="方正仿宋_GBK" w:hAnsi="方正仿宋_GBK" w:eastAsia="方正仿宋_GBK" w:cs="方正仿宋_GBK"/>
                <w:color w:val="000000"/>
                <w:sz w:val="20"/>
                <w:szCs w:val="20"/>
                <w:lang w:eastAsia="zh-CN"/>
              </w:rPr>
            </w:pPr>
            <w:r>
              <w:rPr>
                <w:rFonts w:hint="eastAsia" w:ascii="方正仿宋_GBK" w:hAnsi="方正仿宋_GBK" w:eastAsia="方正仿宋_GBK" w:cs="方正仿宋_GBK"/>
                <w:b/>
                <w:bCs/>
                <w:color w:val="000000"/>
                <w:sz w:val="20"/>
                <w:szCs w:val="20"/>
              </w:rPr>
              <w:t>《计量法实施细则》第五十四条</w:t>
            </w:r>
            <w:r>
              <w:rPr>
                <w:rFonts w:hint="eastAsia" w:ascii="方正仿宋_GBK" w:hAnsi="方正仿宋_GBK" w:eastAsia="方正仿宋_GBK" w:cs="方正仿宋_GBK"/>
                <w:color w:val="000000"/>
                <w:sz w:val="20"/>
                <w:szCs w:val="20"/>
              </w:rPr>
              <w:t>：计量检定人员有下列行为之一的，给予行政处分；构成犯罪的，依法追究刑事责任：</w:t>
            </w:r>
          </w:p>
          <w:p>
            <w:pPr>
              <w:pStyle w:val="4"/>
              <w:widowControl/>
              <w:snapToGrid w:val="0"/>
              <w:spacing w:before="0" w:beforeAutospacing="0" w:after="0" w:afterAutospacing="0"/>
              <w:rPr>
                <w:rFonts w:hint="eastAsia" w:ascii="方正仿宋_GBK" w:hAnsi="方正仿宋_GBK" w:eastAsia="方正仿宋_GBK" w:cs="方正仿宋_GBK"/>
                <w:color w:val="333333"/>
                <w:sz w:val="20"/>
                <w:szCs w:val="20"/>
                <w:lang w:eastAsia="zh-CN"/>
              </w:rPr>
            </w:pPr>
            <w:r>
              <w:rPr>
                <w:rFonts w:hint="eastAsia" w:ascii="方正仿宋_GBK" w:hAnsi="方正仿宋_GBK" w:eastAsia="方正仿宋_GBK" w:cs="方正仿宋_GBK"/>
                <w:color w:val="333333"/>
                <w:sz w:val="20"/>
                <w:szCs w:val="20"/>
              </w:rPr>
              <w:t>（一）伪造检定数据的；</w:t>
            </w:r>
          </w:p>
          <w:p>
            <w:pPr>
              <w:pStyle w:val="4"/>
              <w:widowControl/>
              <w:snapToGrid w:val="0"/>
              <w:spacing w:before="0" w:beforeAutospacing="0" w:after="0" w:afterAutospacing="0"/>
              <w:rPr>
                <w:rFonts w:hint="eastAsia" w:ascii="方正仿宋_GBK" w:hAnsi="方正仿宋_GBK" w:eastAsia="方正仿宋_GBK" w:cs="方正仿宋_GBK"/>
                <w:color w:val="333333"/>
                <w:sz w:val="20"/>
                <w:szCs w:val="20"/>
                <w:lang w:eastAsia="zh-CN"/>
              </w:rPr>
            </w:pPr>
            <w:r>
              <w:rPr>
                <w:rFonts w:hint="eastAsia" w:ascii="方正仿宋_GBK" w:hAnsi="方正仿宋_GBK" w:eastAsia="方正仿宋_GBK" w:cs="方正仿宋_GBK"/>
                <w:color w:val="333333"/>
                <w:sz w:val="20"/>
                <w:szCs w:val="20"/>
              </w:rPr>
              <w:t>（二）出具错误数据，给送检一方造成损失的；</w:t>
            </w:r>
          </w:p>
          <w:p>
            <w:pPr>
              <w:pStyle w:val="4"/>
              <w:widowControl/>
              <w:snapToGrid w:val="0"/>
              <w:spacing w:before="0" w:beforeAutospacing="0" w:after="0" w:afterAutospacing="0"/>
              <w:rPr>
                <w:rFonts w:hint="eastAsia" w:ascii="方正仿宋_GBK" w:hAnsi="方正仿宋_GBK" w:eastAsia="方正仿宋_GBK" w:cs="方正仿宋_GBK"/>
                <w:color w:val="333333"/>
                <w:sz w:val="20"/>
                <w:szCs w:val="20"/>
                <w:lang w:eastAsia="zh-CN"/>
              </w:rPr>
            </w:pPr>
            <w:r>
              <w:rPr>
                <w:rFonts w:hint="eastAsia" w:ascii="方正仿宋_GBK" w:hAnsi="方正仿宋_GBK" w:eastAsia="方正仿宋_GBK" w:cs="方正仿宋_GBK"/>
                <w:color w:val="333333"/>
                <w:sz w:val="20"/>
                <w:szCs w:val="20"/>
              </w:rPr>
              <w:t>（三）违反计量检定规程进行计量检定的；</w:t>
            </w:r>
          </w:p>
          <w:p>
            <w:pPr>
              <w:pStyle w:val="4"/>
              <w:widowControl/>
              <w:snapToGrid w:val="0"/>
              <w:spacing w:before="0" w:beforeAutospacing="0" w:after="0" w:afterAutospacing="0"/>
              <w:rPr>
                <w:rFonts w:hint="eastAsia" w:ascii="方正仿宋_GBK" w:hAnsi="方正仿宋_GBK" w:eastAsia="方正仿宋_GBK" w:cs="方正仿宋_GBK"/>
                <w:color w:val="333333"/>
                <w:sz w:val="20"/>
                <w:szCs w:val="20"/>
                <w:lang w:eastAsia="zh-CN"/>
              </w:rPr>
            </w:pPr>
            <w:r>
              <w:rPr>
                <w:rFonts w:hint="eastAsia" w:ascii="方正仿宋_GBK" w:hAnsi="方正仿宋_GBK" w:eastAsia="方正仿宋_GBK" w:cs="方正仿宋_GBK"/>
                <w:color w:val="333333"/>
                <w:sz w:val="20"/>
                <w:szCs w:val="20"/>
              </w:rPr>
              <w:t>（四）使用未经考核合格的计量标准开展检定的；</w:t>
            </w:r>
          </w:p>
          <w:p>
            <w:pPr>
              <w:pStyle w:val="4"/>
              <w:widowControl/>
              <w:snapToGrid w:val="0"/>
              <w:spacing w:before="0" w:beforeAutospacing="0" w:after="0" w:afterAutospacing="0"/>
              <w:rPr>
                <w:sz w:val="31"/>
                <w:szCs w:val="31"/>
              </w:rPr>
            </w:pPr>
            <w:r>
              <w:rPr>
                <w:rFonts w:hint="eastAsia" w:ascii="方正仿宋_GBK" w:hAnsi="方正仿宋_GBK" w:eastAsia="方正仿宋_GBK" w:cs="方正仿宋_GBK"/>
                <w:color w:val="333333"/>
                <w:sz w:val="20"/>
                <w:szCs w:val="20"/>
              </w:rPr>
              <w:t>（五）未经考核合格执行计量检定的</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380" w:type="dxa"/>
            <w:vMerge w:val="continue"/>
            <w:tcBorders>
              <w:top w:val="single" w:color="000000" w:sz="6" w:space="0"/>
              <w:left w:val="single" w:color="000000" w:sz="6" w:space="0"/>
              <w:bottom w:val="single" w:color="000000" w:sz="6" w:space="0"/>
              <w:right w:val="single" w:color="000000" w:sz="6" w:space="0"/>
            </w:tcBorders>
            <w:noWrap w:val="0"/>
            <w:tcMar>
              <w:top w:w="14" w:type="dxa"/>
              <w:left w:w="14" w:type="dxa"/>
              <w:right w:w="14" w:type="dxa"/>
            </w:tcMar>
            <w:vAlign w:val="center"/>
          </w:tcPr>
          <w:p>
            <w:pPr>
              <w:snapToGrid w:val="0"/>
              <w:rPr>
                <w:rFonts w:hint="eastAsia" w:ascii="宋体"/>
                <w:color w:val="333333"/>
                <w:sz w:val="24"/>
              </w:rPr>
            </w:pPr>
          </w:p>
        </w:tc>
        <w:tc>
          <w:tcPr>
            <w:tcW w:w="553" w:type="dxa"/>
            <w:vMerge w:val="continue"/>
            <w:tcBorders>
              <w:top w:val="single" w:color="000000" w:sz="6" w:space="0"/>
              <w:left w:val="single" w:color="000000" w:sz="6" w:space="0"/>
              <w:bottom w:val="single" w:color="000000" w:sz="6" w:space="0"/>
              <w:right w:val="single" w:color="000000" w:sz="6" w:space="0"/>
            </w:tcBorders>
            <w:noWrap w:val="0"/>
            <w:tcMar>
              <w:top w:w="14" w:type="dxa"/>
              <w:left w:w="14" w:type="dxa"/>
              <w:right w:w="14" w:type="dxa"/>
            </w:tcMar>
            <w:vAlign w:val="center"/>
          </w:tcPr>
          <w:p>
            <w:pPr>
              <w:snapToGrid w:val="0"/>
              <w:rPr>
                <w:rFonts w:hint="eastAsia" w:ascii="宋体"/>
                <w:color w:val="333333"/>
                <w:sz w:val="24"/>
              </w:rPr>
            </w:pPr>
          </w:p>
        </w:tc>
        <w:tc>
          <w:tcPr>
            <w:tcW w:w="2708" w:type="dxa"/>
            <w:tcBorders>
              <w:top w:val="single" w:color="000000" w:sz="6" w:space="0"/>
              <w:left w:val="single" w:color="000000" w:sz="6" w:space="0"/>
              <w:bottom w:val="single" w:color="000000" w:sz="6" w:space="0"/>
              <w:right w:val="single" w:color="000000" w:sz="6" w:space="0"/>
            </w:tcBorders>
            <w:noWrap w:val="0"/>
            <w:tcMar>
              <w:top w:w="14" w:type="dxa"/>
              <w:left w:w="14" w:type="dxa"/>
              <w:right w:w="14" w:type="dxa"/>
            </w:tcMar>
            <w:vAlign w:val="center"/>
          </w:tcPr>
          <w:p>
            <w:pPr>
              <w:pStyle w:val="4"/>
              <w:widowControl/>
              <w:snapToGrid w:val="0"/>
              <w:spacing w:before="0" w:beforeAutospacing="0" w:after="0" w:afterAutospacing="0"/>
              <w:rPr>
                <w:sz w:val="31"/>
                <w:szCs w:val="31"/>
              </w:rPr>
            </w:pPr>
            <w:r>
              <w:rPr>
                <w:rFonts w:hint="eastAsia" w:ascii="方正仿宋_GBK" w:hAnsi="方正仿宋_GBK" w:eastAsia="方正仿宋_GBK" w:cs="方正仿宋_GBK"/>
                <w:color w:val="000000"/>
                <w:sz w:val="20"/>
                <w:szCs w:val="20"/>
              </w:rPr>
              <w:t>经责令召回仍拒绝或者拖延实施缺陷产品召回；</w:t>
            </w:r>
          </w:p>
        </w:tc>
        <w:tc>
          <w:tcPr>
            <w:tcW w:w="6559" w:type="dxa"/>
            <w:tcBorders>
              <w:top w:val="single" w:color="000000" w:sz="6" w:space="0"/>
              <w:left w:val="single" w:color="000000" w:sz="6" w:space="0"/>
              <w:bottom w:val="single" w:color="000000" w:sz="6" w:space="0"/>
              <w:right w:val="single" w:color="000000" w:sz="6" w:space="0"/>
            </w:tcBorders>
            <w:noWrap w:val="0"/>
            <w:tcMar>
              <w:top w:w="14" w:type="dxa"/>
              <w:left w:w="14" w:type="dxa"/>
              <w:right w:w="14" w:type="dxa"/>
            </w:tcMar>
            <w:vAlign w:val="center"/>
          </w:tcPr>
          <w:p>
            <w:pPr>
              <w:pStyle w:val="4"/>
              <w:widowControl/>
              <w:snapToGrid w:val="0"/>
              <w:spacing w:before="0" w:beforeAutospacing="0" w:after="0" w:afterAutospacing="0"/>
              <w:rPr>
                <w:sz w:val="31"/>
                <w:szCs w:val="31"/>
              </w:rPr>
            </w:pPr>
            <w:r>
              <w:rPr>
                <w:rFonts w:hint="eastAsia" w:ascii="方正仿宋_GBK" w:hAnsi="方正仿宋_GBK" w:eastAsia="方正仿宋_GBK" w:cs="方正仿宋_GBK"/>
                <w:b/>
                <w:bCs/>
                <w:color w:val="000000"/>
                <w:sz w:val="20"/>
                <w:szCs w:val="20"/>
              </w:rPr>
              <w:t>《消费品召回管理暂行规定》第二十四条</w:t>
            </w:r>
            <w:r>
              <w:rPr>
                <w:rFonts w:hint="eastAsia" w:ascii="方正仿宋_GBK" w:hAnsi="方正仿宋_GBK" w:eastAsia="方正仿宋_GBK" w:cs="方正仿宋_GBK"/>
                <w:color w:val="000000"/>
                <w:sz w:val="20"/>
                <w:szCs w:val="20"/>
              </w:rPr>
              <w:t>：生产者经责令召回仍拒绝或者拖延实施召回的，按照《中华人民共和国消费者权益保护法》第五十六条规定处理。</w:t>
            </w:r>
          </w:p>
          <w:p>
            <w:pPr>
              <w:pStyle w:val="4"/>
              <w:widowControl/>
              <w:snapToGrid w:val="0"/>
              <w:spacing w:before="0" w:beforeAutospacing="0" w:after="0" w:afterAutospacing="0"/>
              <w:rPr>
                <w:sz w:val="31"/>
                <w:szCs w:val="31"/>
              </w:rPr>
            </w:pPr>
            <w:r>
              <w:rPr>
                <w:rFonts w:hint="eastAsia" w:ascii="方正仿宋_GBK" w:hAnsi="方正仿宋_GBK" w:eastAsia="方正仿宋_GBK" w:cs="方正仿宋_GBK"/>
                <w:b/>
                <w:bCs/>
                <w:color w:val="000000"/>
                <w:sz w:val="20"/>
                <w:szCs w:val="20"/>
              </w:rPr>
              <w:t>《消费者权益保护法》第五十六条第一款：</w:t>
            </w:r>
            <w:r>
              <w:rPr>
                <w:rFonts w:hint="eastAsia" w:ascii="方正仿宋_GBK" w:hAnsi="方正仿宋_GBK" w:eastAsia="方正仿宋_GBK" w:cs="方正仿宋_GBK"/>
                <w:color w:val="000000"/>
                <w:sz w:val="20"/>
                <w:szCs w:val="20"/>
              </w:rPr>
              <w:t>经营者有下列情形之一，除承担相应的民事责任外，其他有关法律、法规对处罚机关和处罚方式有规定的，依照法律、法规的规定执行；法律、法规未作规定的，由工商行政管理部门或者其他有关行政部门责令改正，可以根据情节单处或者并处警告、没收违法所得、处以违法所得一倍以上十倍以下的罚款，没有违法所得的，处以五十万元以下的罚款；情节严重的，责令停业整顿、吊销营业执照：（七）拒绝或者拖延有关行政部门责令对缺陷商品或者服务采取停止销售、警示、召回、无害化处理、销毁、停止生产或者服务等措施的。</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380" w:type="dxa"/>
            <w:vMerge w:val="continue"/>
            <w:tcBorders>
              <w:top w:val="single" w:color="000000" w:sz="6" w:space="0"/>
              <w:left w:val="single" w:color="000000" w:sz="6" w:space="0"/>
              <w:bottom w:val="single" w:color="000000" w:sz="6" w:space="0"/>
              <w:right w:val="single" w:color="000000" w:sz="6" w:space="0"/>
            </w:tcBorders>
            <w:noWrap w:val="0"/>
            <w:tcMar>
              <w:top w:w="14" w:type="dxa"/>
              <w:left w:w="14" w:type="dxa"/>
              <w:right w:w="14" w:type="dxa"/>
            </w:tcMar>
            <w:vAlign w:val="center"/>
          </w:tcPr>
          <w:p>
            <w:pPr>
              <w:snapToGrid w:val="0"/>
              <w:rPr>
                <w:rFonts w:hint="eastAsia" w:ascii="宋体"/>
                <w:color w:val="333333"/>
                <w:sz w:val="24"/>
              </w:rPr>
            </w:pPr>
          </w:p>
        </w:tc>
        <w:tc>
          <w:tcPr>
            <w:tcW w:w="553" w:type="dxa"/>
            <w:vMerge w:val="continue"/>
            <w:tcBorders>
              <w:top w:val="single" w:color="000000" w:sz="6" w:space="0"/>
              <w:left w:val="single" w:color="000000" w:sz="6" w:space="0"/>
              <w:bottom w:val="single" w:color="000000" w:sz="6" w:space="0"/>
              <w:right w:val="single" w:color="000000" w:sz="6" w:space="0"/>
            </w:tcBorders>
            <w:noWrap w:val="0"/>
            <w:tcMar>
              <w:top w:w="14" w:type="dxa"/>
              <w:left w:w="14" w:type="dxa"/>
              <w:right w:w="14" w:type="dxa"/>
            </w:tcMar>
            <w:vAlign w:val="center"/>
          </w:tcPr>
          <w:p>
            <w:pPr>
              <w:snapToGrid w:val="0"/>
              <w:rPr>
                <w:rFonts w:hint="eastAsia" w:ascii="宋体"/>
                <w:color w:val="333333"/>
                <w:sz w:val="24"/>
              </w:rPr>
            </w:pPr>
          </w:p>
        </w:tc>
        <w:tc>
          <w:tcPr>
            <w:tcW w:w="2708" w:type="dxa"/>
            <w:tcBorders>
              <w:top w:val="single" w:color="000000" w:sz="6" w:space="0"/>
              <w:left w:val="single" w:color="000000" w:sz="6" w:space="0"/>
              <w:bottom w:val="single" w:color="000000" w:sz="6" w:space="0"/>
              <w:right w:val="single" w:color="000000" w:sz="6" w:space="0"/>
            </w:tcBorders>
            <w:noWrap w:val="0"/>
            <w:tcMar>
              <w:top w:w="14" w:type="dxa"/>
              <w:left w:w="14" w:type="dxa"/>
              <w:right w:w="14" w:type="dxa"/>
            </w:tcMar>
            <w:vAlign w:val="center"/>
          </w:tcPr>
          <w:p>
            <w:pPr>
              <w:pStyle w:val="4"/>
              <w:widowControl/>
              <w:snapToGrid w:val="0"/>
              <w:spacing w:before="0" w:beforeAutospacing="0" w:after="0" w:afterAutospacing="0"/>
              <w:rPr>
                <w:sz w:val="31"/>
                <w:szCs w:val="31"/>
              </w:rPr>
            </w:pPr>
            <w:r>
              <w:rPr>
                <w:rFonts w:hint="eastAsia" w:ascii="方正仿宋_GBK" w:hAnsi="方正仿宋_GBK" w:eastAsia="方正仿宋_GBK" w:cs="方正仿宋_GBK"/>
                <w:color w:val="000000"/>
                <w:sz w:val="20"/>
                <w:szCs w:val="20"/>
              </w:rPr>
              <w:t>其他违反法律、行政法规规定，严重侵害消费者权益的违法行为。</w:t>
            </w:r>
          </w:p>
        </w:tc>
        <w:tc>
          <w:tcPr>
            <w:tcW w:w="6559" w:type="dxa"/>
            <w:tcBorders>
              <w:top w:val="single" w:color="000000" w:sz="6" w:space="0"/>
              <w:left w:val="single" w:color="000000" w:sz="6" w:space="0"/>
              <w:bottom w:val="single" w:color="000000" w:sz="6" w:space="0"/>
              <w:right w:val="single" w:color="000000" w:sz="6" w:space="0"/>
            </w:tcBorders>
            <w:noWrap w:val="0"/>
            <w:tcMar>
              <w:top w:w="14" w:type="dxa"/>
              <w:left w:w="14" w:type="dxa"/>
              <w:right w:w="14" w:type="dxa"/>
            </w:tcMar>
            <w:vAlign w:val="center"/>
          </w:tcPr>
          <w:p>
            <w:pPr>
              <w:pStyle w:val="4"/>
              <w:widowControl/>
              <w:snapToGrid w:val="0"/>
              <w:spacing w:before="0" w:beforeAutospacing="0" w:after="0" w:afterAutospacing="0"/>
              <w:rPr>
                <w:sz w:val="31"/>
                <w:szCs w:val="31"/>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380" w:type="dxa"/>
            <w:vMerge w:val="restart"/>
            <w:tcBorders>
              <w:top w:val="single" w:color="000000" w:sz="6" w:space="0"/>
              <w:left w:val="single" w:color="000000" w:sz="6" w:space="0"/>
              <w:bottom w:val="single" w:color="000000" w:sz="6" w:space="0"/>
              <w:right w:val="single" w:color="000000" w:sz="6" w:space="0"/>
            </w:tcBorders>
            <w:noWrap w:val="0"/>
            <w:tcMar>
              <w:top w:w="14" w:type="dxa"/>
              <w:left w:w="14" w:type="dxa"/>
              <w:right w:w="14" w:type="dxa"/>
            </w:tcMar>
            <w:vAlign w:val="center"/>
          </w:tcPr>
          <w:p>
            <w:pPr>
              <w:pStyle w:val="4"/>
              <w:widowControl/>
              <w:snapToGrid w:val="0"/>
              <w:spacing w:before="0" w:beforeAutospacing="0" w:after="0" w:afterAutospacing="0"/>
              <w:jc w:val="center"/>
              <w:rPr>
                <w:sz w:val="31"/>
                <w:szCs w:val="31"/>
              </w:rPr>
            </w:pPr>
            <w:r>
              <w:rPr>
                <w:rFonts w:hint="eastAsia" w:ascii="方正仿宋_GBK" w:hAnsi="方正仿宋_GBK" w:eastAsia="方正仿宋_GBK" w:cs="方正仿宋_GBK"/>
                <w:color w:val="000000"/>
                <w:sz w:val="20"/>
                <w:szCs w:val="20"/>
              </w:rPr>
              <w:t>第九条</w:t>
            </w:r>
          </w:p>
        </w:tc>
        <w:tc>
          <w:tcPr>
            <w:tcW w:w="553" w:type="dxa"/>
            <w:vMerge w:val="restart"/>
            <w:tcBorders>
              <w:top w:val="single" w:color="000000" w:sz="6" w:space="0"/>
              <w:left w:val="single" w:color="000000" w:sz="6" w:space="0"/>
              <w:bottom w:val="single" w:color="000000" w:sz="6" w:space="0"/>
              <w:right w:val="single" w:color="000000" w:sz="6" w:space="0"/>
            </w:tcBorders>
            <w:noWrap w:val="0"/>
            <w:tcMar>
              <w:top w:w="14" w:type="dxa"/>
              <w:left w:w="14" w:type="dxa"/>
              <w:right w:w="14" w:type="dxa"/>
            </w:tcMar>
            <w:vAlign w:val="center"/>
          </w:tcPr>
          <w:p>
            <w:pPr>
              <w:pStyle w:val="4"/>
              <w:widowControl/>
              <w:snapToGrid w:val="0"/>
              <w:spacing w:before="0" w:beforeAutospacing="0" w:after="0" w:afterAutospacing="0"/>
              <w:rPr>
                <w:sz w:val="31"/>
                <w:szCs w:val="31"/>
              </w:rPr>
            </w:pPr>
            <w:r>
              <w:rPr>
                <w:rFonts w:hint="eastAsia" w:ascii="方正仿宋_GBK" w:hAnsi="方正仿宋_GBK" w:eastAsia="方正仿宋_GBK" w:cs="方正仿宋_GBK"/>
                <w:color w:val="000000"/>
                <w:sz w:val="20"/>
                <w:szCs w:val="20"/>
              </w:rPr>
              <w:t>破坏公平竞争秩序和扰乱市场秩序的违法行为</w:t>
            </w:r>
          </w:p>
        </w:tc>
        <w:tc>
          <w:tcPr>
            <w:tcW w:w="2708" w:type="dxa"/>
            <w:tcBorders>
              <w:top w:val="single" w:color="000000" w:sz="6" w:space="0"/>
              <w:left w:val="single" w:color="000000" w:sz="6" w:space="0"/>
              <w:bottom w:val="single" w:color="000000" w:sz="6" w:space="0"/>
              <w:right w:val="single" w:color="000000" w:sz="6" w:space="0"/>
            </w:tcBorders>
            <w:noWrap w:val="0"/>
            <w:tcMar>
              <w:top w:w="14" w:type="dxa"/>
              <w:left w:w="14" w:type="dxa"/>
              <w:right w:w="14" w:type="dxa"/>
            </w:tcMar>
            <w:vAlign w:val="center"/>
          </w:tcPr>
          <w:p>
            <w:pPr>
              <w:pStyle w:val="4"/>
              <w:widowControl/>
              <w:snapToGrid w:val="0"/>
              <w:spacing w:before="0" w:beforeAutospacing="0" w:after="0" w:afterAutospacing="0"/>
              <w:rPr>
                <w:sz w:val="31"/>
                <w:szCs w:val="31"/>
              </w:rPr>
            </w:pPr>
            <w:r>
              <w:rPr>
                <w:rFonts w:hint="eastAsia" w:ascii="方正仿宋_GBK" w:hAnsi="方正仿宋_GBK" w:eastAsia="方正仿宋_GBK" w:cs="方正仿宋_GBK"/>
                <w:color w:val="000000"/>
                <w:sz w:val="20"/>
                <w:szCs w:val="20"/>
              </w:rPr>
              <w:t>侵犯商业秘密、商业诋毁、组织虚假交易等严重破坏公平竞争秩序的不正当竞争行为</w:t>
            </w:r>
          </w:p>
        </w:tc>
        <w:tc>
          <w:tcPr>
            <w:tcW w:w="6559" w:type="dxa"/>
            <w:tcBorders>
              <w:top w:val="single" w:color="000000" w:sz="6" w:space="0"/>
              <w:left w:val="single" w:color="000000" w:sz="6" w:space="0"/>
              <w:bottom w:val="single" w:color="000000" w:sz="6" w:space="0"/>
              <w:right w:val="single" w:color="000000" w:sz="6" w:space="0"/>
            </w:tcBorders>
            <w:noWrap w:val="0"/>
            <w:tcMar>
              <w:top w:w="14" w:type="dxa"/>
              <w:left w:w="14" w:type="dxa"/>
              <w:right w:w="14" w:type="dxa"/>
            </w:tcMar>
            <w:vAlign w:val="center"/>
          </w:tcPr>
          <w:p>
            <w:pPr>
              <w:pStyle w:val="4"/>
              <w:widowControl/>
              <w:snapToGrid w:val="0"/>
              <w:spacing w:before="0" w:beforeAutospacing="0" w:after="0" w:afterAutospacing="0"/>
              <w:rPr>
                <w:rFonts w:hint="eastAsia" w:ascii="方正仿宋_GBK" w:hAnsi="方正仿宋_GBK" w:eastAsia="方正仿宋_GBK" w:cs="方正仿宋_GBK"/>
                <w:color w:val="000000"/>
                <w:sz w:val="20"/>
                <w:szCs w:val="20"/>
              </w:rPr>
            </w:pPr>
            <w:r>
              <w:rPr>
                <w:rFonts w:hint="eastAsia" w:ascii="方正仿宋_GBK" w:hAnsi="方正仿宋_GBK" w:eastAsia="方正仿宋_GBK" w:cs="方正仿宋_GBK"/>
                <w:b/>
                <w:bCs/>
                <w:color w:val="000000"/>
                <w:sz w:val="20"/>
                <w:szCs w:val="20"/>
              </w:rPr>
              <w:t>《反不正当竞争法》第二十条</w:t>
            </w:r>
            <w:r>
              <w:rPr>
                <w:rFonts w:hint="eastAsia" w:ascii="方正仿宋_GBK" w:hAnsi="方正仿宋_GBK" w:eastAsia="方正仿宋_GBK" w:cs="方正仿宋_GBK"/>
                <w:color w:val="000000"/>
                <w:sz w:val="20"/>
                <w:szCs w:val="20"/>
              </w:rPr>
              <w:t>：经营者违反本法第八条规定对其商品作虚假或者引人误解的商业宣传，或者通过组织虚假交易等方式帮助其他经营者进行虚假或者引人误解的商业宣传的，由监督检查部门责令停止违法行为，处二十万元以上一百万元以下的罚款；情节严重的，处一百万元以上二百万元以下的罚款，可以吊销营业执照。</w:t>
            </w:r>
          </w:p>
          <w:p>
            <w:pPr>
              <w:pStyle w:val="4"/>
              <w:widowControl/>
              <w:snapToGrid w:val="0"/>
              <w:spacing w:before="0" w:beforeAutospacing="0" w:after="0" w:afterAutospacing="0"/>
              <w:rPr>
                <w:sz w:val="31"/>
                <w:szCs w:val="31"/>
              </w:rPr>
            </w:pPr>
            <w:r>
              <w:rPr>
                <w:rFonts w:hint="eastAsia" w:ascii="方正仿宋_GBK" w:hAnsi="方正仿宋_GBK" w:eastAsia="方正仿宋_GBK" w:cs="方正仿宋_GBK"/>
                <w:b/>
                <w:bCs/>
                <w:color w:val="000000"/>
                <w:sz w:val="20"/>
                <w:szCs w:val="20"/>
              </w:rPr>
              <w:t>第二十一条：</w:t>
            </w:r>
            <w:r>
              <w:rPr>
                <w:rFonts w:hint="eastAsia" w:ascii="方正仿宋_GBK" w:hAnsi="方正仿宋_GBK" w:eastAsia="方正仿宋_GBK" w:cs="方正仿宋_GBK"/>
                <w:color w:val="000000"/>
                <w:sz w:val="20"/>
                <w:szCs w:val="20"/>
              </w:rPr>
              <w:t xml:space="preserve"> 经营者以及其他自然人、法人和非法人组织违反本法第九条规定侵犯商业秘密的，由监督检查部门责令停止违法行为，没收违法所得，处十万元以上一百万元以下的罚款；情节严重的，处五十万元以上五百万元以下的罚款。</w:t>
            </w:r>
          </w:p>
          <w:p>
            <w:pPr>
              <w:pStyle w:val="4"/>
              <w:widowControl/>
              <w:snapToGrid w:val="0"/>
              <w:spacing w:before="0" w:beforeAutospacing="0" w:after="0" w:afterAutospacing="0"/>
              <w:rPr>
                <w:sz w:val="31"/>
                <w:szCs w:val="31"/>
              </w:rPr>
            </w:pPr>
            <w:r>
              <w:rPr>
                <w:rFonts w:hint="eastAsia" w:ascii="方正仿宋_GBK" w:hAnsi="方正仿宋_GBK" w:eastAsia="方正仿宋_GBK" w:cs="方正仿宋_GBK"/>
                <w:b/>
                <w:bCs/>
                <w:color w:val="000000"/>
                <w:sz w:val="20"/>
                <w:szCs w:val="20"/>
              </w:rPr>
              <w:t>第二十三条</w:t>
            </w:r>
            <w:r>
              <w:rPr>
                <w:rFonts w:hint="eastAsia" w:ascii="方正仿宋_GBK" w:hAnsi="方正仿宋_GBK" w:eastAsia="方正仿宋_GBK" w:cs="方正仿宋_GBK"/>
                <w:color w:val="000000"/>
                <w:sz w:val="20"/>
                <w:szCs w:val="20"/>
              </w:rPr>
              <w:t>：经营者违反本法第十一条规定损害竞争对手商业信誉、商品声誉的，由监督检查部门责令停止违法行为、消除影响，处十万元以上五十万元以下的罚款；情节严重的，处五十万元以上三百万元以下的罚款。</w:t>
            </w:r>
          </w:p>
          <w:p>
            <w:pPr>
              <w:pStyle w:val="4"/>
              <w:widowControl/>
              <w:snapToGrid w:val="0"/>
              <w:spacing w:before="0" w:beforeAutospacing="0" w:after="0" w:afterAutospacing="0"/>
              <w:rPr>
                <w:sz w:val="31"/>
                <w:szCs w:val="31"/>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380" w:type="dxa"/>
            <w:vMerge w:val="continue"/>
            <w:tcBorders>
              <w:top w:val="single" w:color="000000" w:sz="6" w:space="0"/>
              <w:left w:val="single" w:color="000000" w:sz="6" w:space="0"/>
              <w:bottom w:val="single" w:color="000000" w:sz="6" w:space="0"/>
              <w:right w:val="single" w:color="000000" w:sz="6" w:space="0"/>
            </w:tcBorders>
            <w:noWrap w:val="0"/>
            <w:tcMar>
              <w:top w:w="14" w:type="dxa"/>
              <w:left w:w="14" w:type="dxa"/>
              <w:right w:w="14" w:type="dxa"/>
            </w:tcMar>
            <w:vAlign w:val="center"/>
          </w:tcPr>
          <w:p>
            <w:pPr>
              <w:snapToGrid w:val="0"/>
              <w:rPr>
                <w:rFonts w:hint="eastAsia" w:ascii="宋体"/>
                <w:color w:val="333333"/>
                <w:sz w:val="24"/>
              </w:rPr>
            </w:pPr>
          </w:p>
        </w:tc>
        <w:tc>
          <w:tcPr>
            <w:tcW w:w="553" w:type="dxa"/>
            <w:vMerge w:val="continue"/>
            <w:tcBorders>
              <w:top w:val="single" w:color="000000" w:sz="6" w:space="0"/>
              <w:left w:val="single" w:color="000000" w:sz="6" w:space="0"/>
              <w:bottom w:val="single" w:color="000000" w:sz="6" w:space="0"/>
              <w:right w:val="single" w:color="000000" w:sz="6" w:space="0"/>
            </w:tcBorders>
            <w:noWrap w:val="0"/>
            <w:tcMar>
              <w:top w:w="14" w:type="dxa"/>
              <w:left w:w="14" w:type="dxa"/>
              <w:right w:w="14" w:type="dxa"/>
            </w:tcMar>
            <w:vAlign w:val="center"/>
          </w:tcPr>
          <w:p>
            <w:pPr>
              <w:snapToGrid w:val="0"/>
              <w:rPr>
                <w:rFonts w:hint="eastAsia" w:ascii="宋体"/>
                <w:color w:val="333333"/>
                <w:sz w:val="24"/>
              </w:rPr>
            </w:pPr>
          </w:p>
        </w:tc>
        <w:tc>
          <w:tcPr>
            <w:tcW w:w="2708" w:type="dxa"/>
            <w:tcBorders>
              <w:top w:val="single" w:color="000000" w:sz="6" w:space="0"/>
              <w:left w:val="single" w:color="000000" w:sz="6" w:space="0"/>
              <w:bottom w:val="single" w:color="000000" w:sz="6" w:space="0"/>
              <w:right w:val="single" w:color="000000" w:sz="6" w:space="0"/>
            </w:tcBorders>
            <w:noWrap w:val="0"/>
            <w:tcMar>
              <w:top w:w="14" w:type="dxa"/>
              <w:left w:w="14" w:type="dxa"/>
              <w:right w:w="14" w:type="dxa"/>
            </w:tcMar>
            <w:vAlign w:val="center"/>
          </w:tcPr>
          <w:p>
            <w:pPr>
              <w:pStyle w:val="4"/>
              <w:widowControl/>
              <w:snapToGrid w:val="0"/>
              <w:spacing w:before="0" w:beforeAutospacing="0" w:after="0" w:afterAutospacing="0"/>
              <w:rPr>
                <w:sz w:val="31"/>
                <w:szCs w:val="31"/>
              </w:rPr>
            </w:pPr>
            <w:r>
              <w:rPr>
                <w:rFonts w:hint="eastAsia" w:ascii="方正仿宋_GBK" w:hAnsi="方正仿宋_GBK" w:eastAsia="方正仿宋_GBK" w:cs="方正仿宋_GBK"/>
                <w:color w:val="000000"/>
                <w:sz w:val="20"/>
                <w:szCs w:val="20"/>
              </w:rPr>
              <w:t>故意侵犯知识产权；提交非正常专利申请、恶意商标注册申请损害社会公共利益；从事严重违法专利、商标代理行为</w:t>
            </w:r>
          </w:p>
        </w:tc>
        <w:tc>
          <w:tcPr>
            <w:tcW w:w="6559" w:type="dxa"/>
            <w:tcBorders>
              <w:top w:val="single" w:color="000000" w:sz="6" w:space="0"/>
              <w:left w:val="single" w:color="000000" w:sz="6" w:space="0"/>
              <w:bottom w:val="single" w:color="000000" w:sz="6" w:space="0"/>
              <w:right w:val="single" w:color="000000" w:sz="6" w:space="0"/>
            </w:tcBorders>
            <w:noWrap w:val="0"/>
            <w:tcMar>
              <w:top w:w="14" w:type="dxa"/>
              <w:left w:w="14" w:type="dxa"/>
              <w:right w:w="14" w:type="dxa"/>
            </w:tcMar>
            <w:vAlign w:val="center"/>
          </w:tcPr>
          <w:p>
            <w:pPr>
              <w:pStyle w:val="4"/>
              <w:widowControl/>
              <w:snapToGrid w:val="0"/>
              <w:spacing w:before="0" w:beforeAutospacing="0" w:after="0" w:afterAutospacing="0"/>
            </w:pPr>
            <w:r>
              <w:rPr>
                <w:rFonts w:hint="eastAsia" w:ascii="方正仿宋_GBK" w:hAnsi="方正仿宋_GBK" w:eastAsia="方正仿宋_GBK" w:cs="方正仿宋_GBK"/>
                <w:b/>
                <w:bCs/>
                <w:color w:val="000000"/>
                <w:sz w:val="20"/>
                <w:szCs w:val="20"/>
              </w:rPr>
              <w:t>《商标法》第六十条第二款</w:t>
            </w:r>
            <w:r>
              <w:rPr>
                <w:rFonts w:hint="eastAsia" w:ascii="方正仿宋_GBK" w:hAnsi="方正仿宋_GBK" w:eastAsia="方正仿宋_GBK" w:cs="方正仿宋_GBK"/>
                <w:color w:val="000000"/>
                <w:sz w:val="20"/>
                <w:szCs w:val="20"/>
              </w:rPr>
              <w:t>：工商行政管理部门处理时，认定侵权行为成立的，责令立即停止侵权行为，没收、销毁侵权商品和主要用于制造侵权商品、伪造注册商标标识的工具，违法经营额五万元以上的，可以处违法经营额五倍以下罚款，没有违法经营额或者违法经营额不足五万元的，可以处二十五万元以下罚款。对五年内实施两次以上商标侵权行为或者有其他严重情节的，应当从重处罚。</w:t>
            </w:r>
          </w:p>
          <w:p>
            <w:pPr>
              <w:pStyle w:val="4"/>
              <w:widowControl/>
              <w:snapToGrid w:val="0"/>
              <w:spacing w:before="0" w:beforeAutospacing="0" w:after="0" w:afterAutospacing="0"/>
              <w:rPr>
                <w:rFonts w:hint="eastAsia" w:ascii="方正仿宋_GBK" w:hAnsi="方正仿宋_GBK" w:eastAsia="方正仿宋_GBK" w:cs="方正仿宋_GBK"/>
                <w:color w:val="000000"/>
                <w:sz w:val="20"/>
                <w:szCs w:val="20"/>
              </w:rPr>
            </w:pPr>
            <w:r>
              <w:rPr>
                <w:rFonts w:hint="eastAsia" w:ascii="方正仿宋_GBK" w:hAnsi="方正仿宋_GBK" w:eastAsia="方正仿宋_GBK" w:cs="方正仿宋_GBK"/>
                <w:b/>
                <w:bCs/>
                <w:color w:val="000000"/>
                <w:sz w:val="20"/>
                <w:szCs w:val="20"/>
              </w:rPr>
              <w:t>《商标法》第六十八条：</w:t>
            </w:r>
            <w:r>
              <w:rPr>
                <w:rFonts w:hint="eastAsia" w:ascii="方正仿宋_GBK" w:hAnsi="方正仿宋_GBK" w:eastAsia="方正仿宋_GBK" w:cs="方正仿宋_GBK"/>
                <w:color w:val="000000"/>
                <w:sz w:val="20"/>
                <w:szCs w:val="20"/>
              </w:rPr>
              <w:t xml:space="preserve"> 商标代理机构有下列行为之一的，由工商行政管理部门责令限期改正，给予警告，处一万元以上十万元以下的罚款；对直接负责的主管人员和其他直接责任人员给予警告，处五千元以上五万元以下的罚款；构成犯罪的，依法追究刑事责任：</w:t>
            </w:r>
          </w:p>
          <w:p>
            <w:pPr>
              <w:pStyle w:val="4"/>
              <w:widowControl/>
              <w:numPr>
                <w:ilvl w:val="0"/>
                <w:numId w:val="1"/>
              </w:numPr>
              <w:snapToGrid w:val="0"/>
              <w:spacing w:before="0" w:beforeAutospacing="0" w:after="0" w:afterAutospacing="0"/>
              <w:rPr>
                <w:rFonts w:hint="eastAsia" w:ascii="方正仿宋_GBK" w:hAnsi="方正仿宋_GBK" w:eastAsia="方正仿宋_GBK" w:cs="方正仿宋_GBK"/>
                <w:color w:val="333333"/>
                <w:sz w:val="20"/>
                <w:szCs w:val="20"/>
                <w:lang w:val="en-US" w:eastAsia="zh-CN"/>
              </w:rPr>
            </w:pPr>
            <w:r>
              <w:rPr>
                <w:rFonts w:hint="eastAsia" w:ascii="方正仿宋_GBK" w:hAnsi="方正仿宋_GBK" w:eastAsia="方正仿宋_GBK" w:cs="方正仿宋_GBK"/>
                <w:color w:val="333333"/>
                <w:sz w:val="20"/>
                <w:szCs w:val="20"/>
                <w:lang w:val="en-US" w:eastAsia="zh-CN"/>
              </w:rPr>
              <w:t>办理商标事宜过程中，伪造、变造或者使用伪造、变造的法律文件、印章、签名的；</w:t>
            </w:r>
          </w:p>
          <w:p>
            <w:pPr>
              <w:pStyle w:val="4"/>
              <w:widowControl/>
              <w:numPr>
                <w:ilvl w:val="0"/>
                <w:numId w:val="2"/>
              </w:numPr>
              <w:snapToGrid w:val="0"/>
              <w:spacing w:before="0" w:beforeAutospacing="0" w:after="0" w:afterAutospacing="0"/>
              <w:ind w:right="0" w:rightChars="0"/>
              <w:rPr>
                <w:rFonts w:hint="eastAsia" w:ascii="方正仿宋_GBK" w:hAnsi="方正仿宋_GBK" w:eastAsia="方正仿宋_GBK" w:cs="方正仿宋_GBK"/>
                <w:color w:val="333333"/>
                <w:sz w:val="20"/>
                <w:szCs w:val="20"/>
              </w:rPr>
            </w:pPr>
            <w:r>
              <w:rPr>
                <w:rFonts w:hint="eastAsia" w:ascii="方正仿宋_GBK" w:hAnsi="方正仿宋_GBK" w:eastAsia="方正仿宋_GBK" w:cs="方正仿宋_GBK"/>
                <w:color w:val="333333"/>
                <w:sz w:val="20"/>
                <w:szCs w:val="20"/>
              </w:rPr>
              <w:t>以诋毁其他商标代理机构等手段招徕商标代理业务或者以其他不正当手段扰乱商标代理市场秩序的；</w:t>
            </w:r>
          </w:p>
          <w:p>
            <w:pPr>
              <w:pStyle w:val="4"/>
              <w:widowControl/>
              <w:numPr>
                <w:ilvl w:val="0"/>
                <w:numId w:val="2"/>
              </w:numPr>
              <w:snapToGrid w:val="0"/>
              <w:spacing w:before="0" w:beforeAutospacing="0" w:after="0" w:afterAutospacing="0"/>
              <w:ind w:right="0" w:rightChars="0"/>
              <w:rPr>
                <w:rFonts w:hint="eastAsia" w:ascii="方正仿宋_GBK" w:hAnsi="方正仿宋_GBK" w:eastAsia="方正仿宋_GBK" w:cs="方正仿宋_GBK"/>
                <w:color w:val="333333"/>
                <w:sz w:val="20"/>
                <w:szCs w:val="20"/>
              </w:rPr>
            </w:pPr>
            <w:r>
              <w:rPr>
                <w:rFonts w:hint="eastAsia" w:ascii="方正仿宋_GBK" w:hAnsi="方正仿宋_GBK" w:eastAsia="方正仿宋_GBK" w:cs="方正仿宋_GBK"/>
                <w:color w:val="333333"/>
                <w:sz w:val="20"/>
                <w:szCs w:val="20"/>
              </w:rPr>
              <w:t>（三）</w:t>
            </w:r>
            <w:r>
              <w:rPr>
                <w:rFonts w:hint="eastAsia" w:ascii="方正仿宋_GBK" w:hAnsi="方正仿宋_GBK" w:eastAsia="方正仿宋_GBK" w:cs="方正仿宋_GBK"/>
                <w:color w:val="000000"/>
                <w:sz w:val="20"/>
                <w:szCs w:val="20"/>
              </w:rPr>
              <w:t>违反本法第四条、第十九条第三款和第四款规定的。</w:t>
            </w:r>
          </w:p>
          <w:p>
            <w:pPr>
              <w:pStyle w:val="4"/>
              <w:widowControl/>
              <w:numPr>
                <w:ilvl w:val="0"/>
                <w:numId w:val="2"/>
              </w:numPr>
              <w:snapToGrid w:val="0"/>
              <w:spacing w:before="0" w:beforeAutospacing="0" w:after="0" w:afterAutospacing="0"/>
              <w:ind w:right="0" w:rightChars="0"/>
              <w:rPr>
                <w:rFonts w:hint="eastAsia" w:ascii="方正仿宋_GBK" w:hAnsi="方正仿宋_GBK" w:eastAsia="方正仿宋_GBK" w:cs="方正仿宋_GBK"/>
                <w:color w:val="333333"/>
                <w:sz w:val="20"/>
                <w:szCs w:val="20"/>
              </w:rPr>
            </w:pPr>
            <w:r>
              <w:rPr>
                <w:rFonts w:hint="eastAsia" w:ascii="方正仿宋_GBK" w:hAnsi="方正仿宋_GBK" w:eastAsia="方正仿宋_GBK" w:cs="方正仿宋_GBK"/>
                <w:color w:val="333333"/>
                <w:sz w:val="20"/>
                <w:szCs w:val="20"/>
              </w:rPr>
              <w:t>商标代理机构有前款规定行为的，由工商行政管理部门记入信用档案；情节严重的，商标局、商标评审委</w:t>
            </w:r>
            <w:r>
              <w:rPr>
                <w:rFonts w:hint="eastAsia" w:ascii="方正仿宋_GBK" w:hAnsi="方正仿宋_GBK" w:eastAsia="方正仿宋_GBK" w:cs="方正仿宋_GBK"/>
                <w:color w:val="000000"/>
                <w:sz w:val="20"/>
                <w:szCs w:val="20"/>
              </w:rPr>
              <w:t>员会并可以决定停止受理其办理商标代理业务，予以公告。</w:t>
            </w:r>
          </w:p>
          <w:p>
            <w:pPr>
              <w:pStyle w:val="4"/>
              <w:widowControl/>
              <w:numPr>
                <w:ilvl w:val="0"/>
                <w:numId w:val="2"/>
              </w:numPr>
              <w:snapToGrid w:val="0"/>
              <w:spacing w:before="0" w:beforeAutospacing="0" w:after="0" w:afterAutospacing="0"/>
              <w:ind w:right="0" w:rightChars="0"/>
              <w:rPr>
                <w:rFonts w:hint="eastAsia" w:ascii="方正仿宋_GBK" w:hAnsi="方正仿宋_GBK" w:eastAsia="方正仿宋_GBK" w:cs="方正仿宋_GBK"/>
                <w:color w:val="333333"/>
                <w:sz w:val="20"/>
                <w:szCs w:val="20"/>
              </w:rPr>
            </w:pPr>
            <w:r>
              <w:rPr>
                <w:rFonts w:hint="eastAsia" w:ascii="方正仿宋_GBK" w:hAnsi="方正仿宋_GBK" w:eastAsia="方正仿宋_GBK" w:cs="方正仿宋_GBK"/>
                <w:color w:val="333333"/>
                <w:sz w:val="20"/>
                <w:szCs w:val="20"/>
              </w:rPr>
              <w:t>商标代理机构违反诚实信用原则，侵害委托人合法利益的，应当依法承担民事责任，并由商标代理行业组织按照章程规定予以惩戒。</w:t>
            </w:r>
          </w:p>
          <w:p>
            <w:pPr>
              <w:pStyle w:val="4"/>
              <w:widowControl/>
              <w:numPr>
                <w:ilvl w:val="0"/>
                <w:numId w:val="2"/>
              </w:numPr>
              <w:snapToGrid w:val="0"/>
              <w:spacing w:before="0" w:beforeAutospacing="0" w:after="0" w:afterAutospacing="0"/>
              <w:ind w:right="0" w:rightChars="0"/>
              <w:rPr>
                <w:rFonts w:hint="eastAsia" w:ascii="方正仿宋_GBK" w:hAnsi="方正仿宋_GBK" w:eastAsia="方正仿宋_GBK" w:cs="方正仿宋_GBK"/>
                <w:color w:val="333333"/>
                <w:sz w:val="20"/>
                <w:szCs w:val="20"/>
              </w:rPr>
            </w:pPr>
            <w:r>
              <w:rPr>
                <w:rFonts w:hint="eastAsia" w:ascii="方正仿宋_GBK" w:hAnsi="方正仿宋_GBK" w:eastAsia="方正仿宋_GBK" w:cs="方正仿宋_GBK"/>
                <w:color w:val="333333"/>
                <w:sz w:val="20"/>
                <w:szCs w:val="20"/>
              </w:rPr>
              <w:t>对恶意申请商标注册的，根据情节给予警告、罚款等行政处罚；对恶意提起商标诉讼的，由人民法院依法给予处罚。</w:t>
            </w:r>
          </w:p>
          <w:p>
            <w:pPr>
              <w:pStyle w:val="4"/>
              <w:widowControl/>
              <w:numPr>
                <w:ilvl w:val="0"/>
                <w:numId w:val="0"/>
              </w:numPr>
              <w:snapToGrid w:val="0"/>
              <w:spacing w:before="0" w:beforeAutospacing="0" w:after="0" w:afterAutospacing="0"/>
              <w:ind w:right="0" w:rightChars="0"/>
              <w:rPr>
                <w:rFonts w:hint="eastAsia" w:ascii="方正仿宋_GBK" w:hAnsi="方正仿宋_GBK" w:eastAsia="方正仿宋_GBK" w:cs="方正仿宋_GBK"/>
                <w:b/>
                <w:bCs/>
                <w:color w:val="333333"/>
                <w:sz w:val="20"/>
                <w:szCs w:val="20"/>
                <w:lang w:val="en-US" w:eastAsia="zh-CN"/>
              </w:rPr>
            </w:pPr>
            <w:r>
              <w:rPr>
                <w:rFonts w:hint="eastAsia" w:ascii="方正仿宋_GBK" w:hAnsi="方正仿宋_GBK" w:eastAsia="方正仿宋_GBK" w:cs="方正仿宋_GBK"/>
                <w:b/>
                <w:bCs/>
                <w:color w:val="333333"/>
                <w:sz w:val="20"/>
                <w:szCs w:val="20"/>
              </w:rPr>
              <w:t>《专利法》第六十</w:t>
            </w:r>
            <w:r>
              <w:rPr>
                <w:rFonts w:hint="eastAsia" w:ascii="方正仿宋_GBK" w:hAnsi="方正仿宋_GBK" w:eastAsia="方正仿宋_GBK" w:cs="方正仿宋_GBK"/>
                <w:b/>
                <w:bCs/>
                <w:color w:val="333333"/>
                <w:sz w:val="20"/>
                <w:szCs w:val="20"/>
                <w:lang w:eastAsia="zh-CN"/>
              </w:rPr>
              <w:t>五</w:t>
            </w:r>
            <w:r>
              <w:rPr>
                <w:rFonts w:hint="eastAsia" w:ascii="方正仿宋_GBK" w:hAnsi="方正仿宋_GBK" w:eastAsia="方正仿宋_GBK" w:cs="方正仿宋_GBK"/>
                <w:b/>
                <w:bCs/>
                <w:color w:val="333333"/>
                <w:sz w:val="20"/>
                <w:szCs w:val="20"/>
              </w:rPr>
              <w:t>条</w:t>
            </w:r>
            <w:r>
              <w:rPr>
                <w:rFonts w:hint="eastAsia" w:ascii="方正仿宋_GBK" w:hAnsi="方正仿宋_GBK" w:eastAsia="方正仿宋_GBK" w:cs="方正仿宋_GBK"/>
                <w:b/>
                <w:bCs/>
                <w:color w:val="333333"/>
                <w:sz w:val="20"/>
                <w:szCs w:val="20"/>
                <w:lang w:val="en-US" w:eastAsia="zh-CN"/>
              </w:rPr>
              <w:t xml:space="preserve"> </w:t>
            </w:r>
            <w:r>
              <w:rPr>
                <w:rFonts w:hint="eastAsia" w:ascii="方正仿宋_GBK" w:hAnsi="方正仿宋_GBK" w:eastAsia="方正仿宋_GBK" w:cs="方正仿宋_GBK"/>
                <w:b w:val="0"/>
                <w:bCs w:val="0"/>
                <w:color w:val="333333"/>
                <w:sz w:val="20"/>
                <w:szCs w:val="20"/>
                <w:lang w:val="en-US" w:eastAsia="zh-CN"/>
              </w:rPr>
              <w:t xml:space="preserve"> 管理专利工作的部门处理时，认定侵权行为成立的，可以责令侵权人立即停止侵权行为。</w:t>
            </w:r>
          </w:p>
          <w:p>
            <w:pPr>
              <w:pStyle w:val="4"/>
              <w:widowControl/>
              <w:snapToGrid w:val="0"/>
              <w:spacing w:before="0" w:beforeAutospacing="0" w:after="0" w:afterAutospacing="0"/>
            </w:pPr>
            <w:r>
              <w:rPr>
                <w:rFonts w:hint="eastAsia" w:ascii="方正仿宋_GBK" w:hAnsi="方正仿宋_GBK" w:eastAsia="方正仿宋_GBK" w:cs="方正仿宋_GBK"/>
                <w:b/>
                <w:bCs/>
                <w:color w:val="000000"/>
                <w:sz w:val="20"/>
                <w:szCs w:val="20"/>
              </w:rPr>
              <w:t>《专利法》第六十八条</w:t>
            </w:r>
            <w:r>
              <w:rPr>
                <w:rFonts w:hint="eastAsia" w:ascii="方正仿宋_GBK" w:hAnsi="方正仿宋_GBK" w:eastAsia="方正仿宋_GBK" w:cs="方正仿宋_GBK"/>
                <w:b/>
                <w:bCs/>
                <w:color w:val="000000"/>
                <w:sz w:val="20"/>
                <w:szCs w:val="20"/>
                <w:lang w:val="en-US" w:eastAsia="zh-CN"/>
              </w:rPr>
              <w:t xml:space="preserve">  </w:t>
            </w:r>
            <w:r>
              <w:rPr>
                <w:rFonts w:hint="eastAsia" w:ascii="方正仿宋_GBK" w:hAnsi="方正仿宋_GBK" w:eastAsia="方正仿宋_GBK" w:cs="方正仿宋_GBK"/>
                <w:color w:val="000000"/>
                <w:sz w:val="20"/>
                <w:szCs w:val="20"/>
              </w:rPr>
              <w:t>假冒专利的，除依法承担民事责任外，由负责专利执法的部门责令改正并予公告，没收违法所得，可以处违法所得五倍以下的罚款；没有违法所得或者违法所得在五万元以下的，可以处二十五万元以下的罚款；构成犯罪的，依法追究刑事责任。</w:t>
            </w:r>
          </w:p>
          <w:p>
            <w:pPr>
              <w:pStyle w:val="4"/>
              <w:widowControl/>
              <w:snapToGrid w:val="0"/>
              <w:spacing w:before="0" w:beforeAutospacing="0" w:after="0" w:afterAutospacing="0"/>
              <w:rPr>
                <w:rFonts w:hint="eastAsia" w:ascii="方正仿宋_GBK" w:hAnsi="方正仿宋_GBK" w:eastAsia="方正仿宋_GBK" w:cs="方正仿宋_GBK"/>
                <w:color w:val="333333"/>
                <w:sz w:val="20"/>
                <w:szCs w:val="20"/>
                <w:lang w:eastAsia="zh-CN"/>
              </w:rPr>
            </w:pPr>
            <w:r>
              <w:rPr>
                <w:rFonts w:hint="eastAsia" w:ascii="方正仿宋_GBK" w:hAnsi="方正仿宋_GBK" w:eastAsia="方正仿宋_GBK" w:cs="方正仿宋_GBK"/>
                <w:b/>
                <w:bCs/>
                <w:color w:val="000000"/>
                <w:sz w:val="20"/>
                <w:szCs w:val="20"/>
              </w:rPr>
              <w:t>《专利代理条例》第二十五条</w:t>
            </w:r>
            <w:r>
              <w:rPr>
                <w:rFonts w:hint="eastAsia" w:ascii="方正仿宋_GBK" w:hAnsi="方正仿宋_GBK" w:eastAsia="方正仿宋_GBK" w:cs="方正仿宋_GBK"/>
                <w:color w:val="000000"/>
                <w:sz w:val="20"/>
                <w:szCs w:val="20"/>
              </w:rPr>
              <w:t xml:space="preserve"> 专利代理机构有下列行为之一的，由省、自治区、直辖市人民政府管理专利工作的部门责令限期改正，予以警告，可以处</w:t>
            </w:r>
            <w:r>
              <w:rPr>
                <w:rFonts w:ascii="Times New Roman" w:hAnsi="Times New Roman"/>
                <w:color w:val="333333"/>
                <w:sz w:val="20"/>
                <w:szCs w:val="20"/>
              </w:rPr>
              <w:t>10</w:t>
            </w:r>
            <w:r>
              <w:rPr>
                <w:rFonts w:hint="eastAsia" w:ascii="方正仿宋_GBK" w:hAnsi="方正仿宋_GBK" w:eastAsia="方正仿宋_GBK" w:cs="方正仿宋_GBK"/>
                <w:color w:val="333333"/>
                <w:sz w:val="20"/>
                <w:szCs w:val="20"/>
              </w:rPr>
              <w:t>万元以下的罚款；情节严重或者逾期未改正的，由国务院专利行政部门责令停止承接新的专利代理业务</w:t>
            </w:r>
            <w:r>
              <w:rPr>
                <w:rFonts w:ascii="Times New Roman" w:hAnsi="Times New Roman"/>
                <w:color w:val="333333"/>
                <w:sz w:val="20"/>
                <w:szCs w:val="20"/>
              </w:rPr>
              <w:t>6</w:t>
            </w:r>
            <w:r>
              <w:rPr>
                <w:rFonts w:hint="eastAsia" w:ascii="方正仿宋_GBK" w:hAnsi="方正仿宋_GBK" w:eastAsia="方正仿宋_GBK" w:cs="方正仿宋_GBK"/>
                <w:color w:val="333333"/>
                <w:sz w:val="20"/>
                <w:szCs w:val="20"/>
              </w:rPr>
              <w:t>个月至</w:t>
            </w:r>
            <w:r>
              <w:rPr>
                <w:rFonts w:ascii="Times New Roman" w:hAnsi="Times New Roman"/>
                <w:color w:val="333333"/>
                <w:sz w:val="20"/>
                <w:szCs w:val="20"/>
              </w:rPr>
              <w:t>12</w:t>
            </w:r>
            <w:r>
              <w:rPr>
                <w:rFonts w:hint="eastAsia" w:ascii="方正仿宋_GBK" w:hAnsi="方正仿宋_GBK" w:eastAsia="方正仿宋_GBK" w:cs="方正仿宋_GBK"/>
                <w:color w:val="333333"/>
                <w:sz w:val="20"/>
                <w:szCs w:val="20"/>
              </w:rPr>
              <w:t>个月，直至吊销专利代理机构执业许可证：</w:t>
            </w:r>
          </w:p>
          <w:p>
            <w:pPr>
              <w:pStyle w:val="4"/>
              <w:widowControl/>
              <w:snapToGrid w:val="0"/>
              <w:spacing w:before="0" w:beforeAutospacing="0" w:after="0" w:afterAutospacing="0"/>
              <w:rPr>
                <w:rFonts w:hint="eastAsia" w:ascii="方正仿宋_GBK" w:hAnsi="方正仿宋_GBK" w:eastAsia="方正仿宋_GBK" w:cs="方正仿宋_GBK"/>
                <w:color w:val="333333"/>
                <w:sz w:val="20"/>
                <w:szCs w:val="20"/>
                <w:lang w:eastAsia="zh-CN"/>
              </w:rPr>
            </w:pPr>
            <w:r>
              <w:rPr>
                <w:rFonts w:hint="eastAsia" w:ascii="方正仿宋_GBK" w:hAnsi="方正仿宋_GBK" w:eastAsia="方正仿宋_GBK" w:cs="方正仿宋_GBK"/>
                <w:color w:val="333333"/>
                <w:sz w:val="20"/>
                <w:szCs w:val="20"/>
              </w:rPr>
              <w:t>（一）合伙人、股东或者法定代表人等事项发生变化未办理变更手续；</w:t>
            </w:r>
          </w:p>
          <w:p>
            <w:pPr>
              <w:pStyle w:val="4"/>
              <w:widowControl/>
              <w:snapToGrid w:val="0"/>
              <w:spacing w:before="0" w:beforeAutospacing="0" w:after="0" w:afterAutospacing="0"/>
              <w:rPr>
                <w:rFonts w:hint="eastAsia" w:ascii="方正仿宋_GBK" w:hAnsi="方正仿宋_GBK" w:eastAsia="方正仿宋_GBK" w:cs="方正仿宋_GBK"/>
                <w:color w:val="333333"/>
                <w:sz w:val="20"/>
                <w:szCs w:val="20"/>
                <w:lang w:eastAsia="zh-CN"/>
              </w:rPr>
            </w:pPr>
            <w:r>
              <w:rPr>
                <w:rFonts w:hint="eastAsia" w:ascii="方正仿宋_GBK" w:hAnsi="方正仿宋_GBK" w:eastAsia="方正仿宋_GBK" w:cs="方正仿宋_GBK"/>
                <w:color w:val="333333"/>
                <w:sz w:val="20"/>
                <w:szCs w:val="20"/>
              </w:rPr>
              <w:t>（二）就同一专利申请或者专利权的事务接受有利益冲突的其他当事人的委托；</w:t>
            </w:r>
          </w:p>
          <w:p>
            <w:pPr>
              <w:pStyle w:val="4"/>
              <w:widowControl/>
              <w:snapToGrid w:val="0"/>
              <w:spacing w:before="0" w:beforeAutospacing="0" w:after="0" w:afterAutospacing="0"/>
              <w:rPr>
                <w:rFonts w:hint="eastAsia" w:ascii="方正仿宋_GBK" w:hAnsi="方正仿宋_GBK" w:eastAsia="方正仿宋_GBK" w:cs="方正仿宋_GBK"/>
                <w:color w:val="333333"/>
                <w:sz w:val="20"/>
                <w:szCs w:val="20"/>
                <w:lang w:eastAsia="zh-CN"/>
              </w:rPr>
            </w:pPr>
            <w:r>
              <w:rPr>
                <w:rFonts w:hint="eastAsia" w:ascii="方正仿宋_GBK" w:hAnsi="方正仿宋_GBK" w:eastAsia="方正仿宋_GBK" w:cs="方正仿宋_GBK"/>
                <w:color w:val="333333"/>
                <w:sz w:val="20"/>
                <w:szCs w:val="20"/>
              </w:rPr>
              <w:t>（三）指派专利代理师承办与其本人或者其近亲属有利益冲突的专利代理业务；</w:t>
            </w:r>
          </w:p>
          <w:p>
            <w:pPr>
              <w:pStyle w:val="4"/>
              <w:widowControl/>
              <w:snapToGrid w:val="0"/>
              <w:spacing w:before="0" w:beforeAutospacing="0" w:after="0" w:afterAutospacing="0"/>
              <w:rPr>
                <w:rFonts w:hint="eastAsia" w:ascii="方正仿宋_GBK" w:hAnsi="方正仿宋_GBK" w:eastAsia="方正仿宋_GBK" w:cs="方正仿宋_GBK"/>
                <w:color w:val="333333"/>
                <w:sz w:val="20"/>
                <w:szCs w:val="20"/>
                <w:lang w:eastAsia="zh-CN"/>
              </w:rPr>
            </w:pPr>
            <w:r>
              <w:rPr>
                <w:rFonts w:hint="eastAsia" w:ascii="方正仿宋_GBK" w:hAnsi="方正仿宋_GBK" w:eastAsia="方正仿宋_GBK" w:cs="方正仿宋_GBK"/>
                <w:color w:val="333333"/>
                <w:sz w:val="20"/>
                <w:szCs w:val="20"/>
              </w:rPr>
              <w:t>（四）泄露委托人的发明创造内容，或者以自己的名义申请专利或请求宣告专利权无效；</w:t>
            </w:r>
          </w:p>
          <w:p>
            <w:pPr>
              <w:pStyle w:val="4"/>
              <w:widowControl/>
              <w:snapToGrid w:val="0"/>
              <w:spacing w:before="0" w:beforeAutospacing="0" w:after="0" w:afterAutospacing="0"/>
              <w:rPr>
                <w:rFonts w:hint="eastAsia" w:ascii="方正仿宋_GBK" w:hAnsi="方正仿宋_GBK" w:eastAsia="方正仿宋_GBK" w:cs="方正仿宋_GBK"/>
                <w:color w:val="333333"/>
                <w:sz w:val="20"/>
                <w:szCs w:val="20"/>
                <w:lang w:eastAsia="zh-CN"/>
              </w:rPr>
            </w:pPr>
            <w:r>
              <w:rPr>
                <w:rFonts w:hint="eastAsia" w:ascii="方正仿宋_GBK" w:hAnsi="方正仿宋_GBK" w:eastAsia="方正仿宋_GBK" w:cs="方正仿宋_GBK"/>
                <w:color w:val="333333"/>
                <w:sz w:val="20"/>
                <w:szCs w:val="20"/>
              </w:rPr>
              <w:t>（五）疏于管理，造成严重后果。</w:t>
            </w:r>
          </w:p>
          <w:p>
            <w:pPr>
              <w:pStyle w:val="4"/>
              <w:widowControl/>
              <w:snapToGrid w:val="0"/>
              <w:spacing w:before="0" w:beforeAutospacing="0" w:after="0" w:afterAutospacing="0"/>
              <w:rPr>
                <w:rFonts w:hint="eastAsia" w:ascii="方正仿宋_GBK" w:hAnsi="方正仿宋_GBK" w:eastAsia="方正仿宋_GBK" w:cs="方正仿宋_GBK"/>
                <w:color w:val="333333"/>
                <w:sz w:val="20"/>
                <w:szCs w:val="20"/>
                <w:lang w:eastAsia="zh-CN"/>
              </w:rPr>
            </w:pPr>
            <w:r>
              <w:rPr>
                <w:rFonts w:hint="eastAsia" w:ascii="方正仿宋_GBK" w:hAnsi="方正仿宋_GBK" w:eastAsia="方正仿宋_GBK" w:cs="方正仿宋_GBK"/>
                <w:color w:val="333333"/>
                <w:sz w:val="20"/>
                <w:szCs w:val="20"/>
              </w:rPr>
              <w:t>专业代理机构在执业过程中泄露委托人的发明创造内容，涉及泄露国家秘密、侵犯商业秘密的，或者向有关行政、司法机关的工作人员行贿，提供虚假证据的，依照有关法律、行政法规的规定承担法律责任；由国务院专利行政部门吊销专利代理机构执业许可证。</w:t>
            </w:r>
          </w:p>
          <w:p>
            <w:pPr>
              <w:pStyle w:val="4"/>
              <w:widowControl/>
              <w:snapToGrid w:val="0"/>
              <w:spacing w:before="0" w:beforeAutospacing="0" w:after="0" w:afterAutospacing="0"/>
              <w:rPr>
                <w:rFonts w:hint="eastAsia" w:ascii="方正仿宋_GBK" w:hAnsi="方正仿宋_GBK" w:eastAsia="方正仿宋_GBK" w:cs="方正仿宋_GBK"/>
                <w:color w:val="333333"/>
                <w:sz w:val="20"/>
                <w:szCs w:val="20"/>
                <w:lang w:eastAsia="zh-CN"/>
              </w:rPr>
            </w:pPr>
          </w:p>
          <w:p>
            <w:pPr>
              <w:pStyle w:val="4"/>
              <w:widowControl/>
              <w:snapToGrid w:val="0"/>
              <w:spacing w:before="0" w:beforeAutospacing="0" w:after="0" w:afterAutospacing="0"/>
              <w:rPr>
                <w:rFonts w:hint="eastAsia" w:ascii="方正仿宋_GBK" w:hAnsi="方正仿宋_GBK" w:eastAsia="方正仿宋_GBK" w:cs="方正仿宋_GBK"/>
                <w:color w:val="333333"/>
                <w:sz w:val="20"/>
                <w:szCs w:val="20"/>
                <w:lang w:eastAsia="zh-CN"/>
              </w:rPr>
            </w:pPr>
            <w:r>
              <w:rPr>
                <w:rFonts w:hint="eastAsia" w:ascii="方正仿宋_GBK" w:hAnsi="方正仿宋_GBK" w:eastAsia="方正仿宋_GBK" w:cs="方正仿宋_GBK"/>
                <w:b/>
                <w:bCs/>
                <w:color w:val="333333"/>
                <w:sz w:val="20"/>
                <w:szCs w:val="20"/>
              </w:rPr>
              <w:t>第二十六条</w:t>
            </w:r>
            <w:r>
              <w:rPr>
                <w:rFonts w:hint="eastAsia" w:ascii="方正仿宋_GBK" w:hAnsi="方正仿宋_GBK" w:eastAsia="方正仿宋_GBK" w:cs="方正仿宋_GBK"/>
                <w:color w:val="333333"/>
                <w:sz w:val="20"/>
                <w:szCs w:val="20"/>
              </w:rPr>
              <w:t xml:space="preserve"> 专利代理师有下列行为之一的，由省、自治区、直辖市人民政府管理专利工作的部门责令限期改正，予以警告，可以处</w:t>
            </w:r>
            <w:r>
              <w:rPr>
                <w:rFonts w:ascii="Times New Roman" w:hAnsi="Times New Roman"/>
                <w:color w:val="333333"/>
                <w:sz w:val="20"/>
                <w:szCs w:val="20"/>
              </w:rPr>
              <w:t>5</w:t>
            </w:r>
            <w:r>
              <w:rPr>
                <w:rFonts w:hint="eastAsia" w:ascii="方正仿宋_GBK" w:hAnsi="方正仿宋_GBK" w:eastAsia="方正仿宋_GBK" w:cs="方正仿宋_GBK"/>
                <w:color w:val="333333"/>
                <w:sz w:val="20"/>
                <w:szCs w:val="20"/>
              </w:rPr>
              <w:t>万元以下的罚款；情节严重或者逾期未改正的，由国务院专利行政部门责令停止承办新的专利代理业务</w:t>
            </w:r>
            <w:r>
              <w:rPr>
                <w:rFonts w:ascii="Times New Roman" w:hAnsi="Times New Roman"/>
                <w:color w:val="333333"/>
                <w:sz w:val="20"/>
                <w:szCs w:val="20"/>
              </w:rPr>
              <w:t>6</w:t>
            </w:r>
            <w:r>
              <w:rPr>
                <w:rFonts w:hint="eastAsia" w:ascii="方正仿宋_GBK" w:hAnsi="方正仿宋_GBK" w:eastAsia="方正仿宋_GBK" w:cs="方正仿宋_GBK"/>
                <w:color w:val="333333"/>
                <w:sz w:val="20"/>
                <w:szCs w:val="20"/>
              </w:rPr>
              <w:t>个月至</w:t>
            </w:r>
            <w:r>
              <w:rPr>
                <w:rFonts w:ascii="Times New Roman" w:hAnsi="Times New Roman"/>
                <w:color w:val="333333"/>
                <w:sz w:val="20"/>
                <w:szCs w:val="20"/>
              </w:rPr>
              <w:t>12</w:t>
            </w:r>
            <w:r>
              <w:rPr>
                <w:rFonts w:hint="eastAsia" w:ascii="方正仿宋_GBK" w:hAnsi="方正仿宋_GBK" w:eastAsia="方正仿宋_GBK" w:cs="方正仿宋_GBK"/>
                <w:color w:val="333333"/>
                <w:sz w:val="20"/>
                <w:szCs w:val="20"/>
              </w:rPr>
              <w:t>个月，直至吊销专利代理师资格证：</w:t>
            </w:r>
          </w:p>
          <w:p>
            <w:pPr>
              <w:pStyle w:val="4"/>
              <w:widowControl/>
              <w:snapToGrid w:val="0"/>
              <w:spacing w:before="0" w:beforeAutospacing="0" w:after="0" w:afterAutospacing="0"/>
              <w:rPr>
                <w:rFonts w:hint="eastAsia" w:ascii="方正仿宋_GBK" w:hAnsi="方正仿宋_GBK" w:eastAsia="方正仿宋_GBK" w:cs="方正仿宋_GBK"/>
                <w:color w:val="333333"/>
                <w:sz w:val="20"/>
                <w:szCs w:val="20"/>
                <w:lang w:eastAsia="zh-CN"/>
              </w:rPr>
            </w:pPr>
            <w:r>
              <w:rPr>
                <w:rFonts w:hint="eastAsia" w:ascii="方正仿宋_GBK" w:hAnsi="方正仿宋_GBK" w:eastAsia="方正仿宋_GBK" w:cs="方正仿宋_GBK"/>
                <w:color w:val="333333"/>
                <w:sz w:val="20"/>
                <w:szCs w:val="20"/>
              </w:rPr>
              <w:t>（一）未依照本条例规定进行备案；</w:t>
            </w:r>
          </w:p>
          <w:p>
            <w:pPr>
              <w:pStyle w:val="4"/>
              <w:widowControl/>
              <w:snapToGrid w:val="0"/>
              <w:spacing w:before="0" w:beforeAutospacing="0" w:after="0" w:afterAutospacing="0"/>
              <w:rPr>
                <w:rFonts w:hint="eastAsia" w:ascii="方正仿宋_GBK" w:hAnsi="方正仿宋_GBK" w:eastAsia="方正仿宋_GBK" w:cs="方正仿宋_GBK"/>
                <w:color w:val="333333"/>
                <w:sz w:val="20"/>
                <w:szCs w:val="20"/>
                <w:lang w:eastAsia="zh-CN"/>
              </w:rPr>
            </w:pPr>
            <w:r>
              <w:rPr>
                <w:rFonts w:hint="eastAsia" w:ascii="方正仿宋_GBK" w:hAnsi="方正仿宋_GBK" w:eastAsia="方正仿宋_GBK" w:cs="方正仿宋_GBK"/>
                <w:color w:val="333333"/>
                <w:sz w:val="20"/>
                <w:szCs w:val="20"/>
              </w:rPr>
              <w:t>（二）自行接受委托办理专利代理业务；</w:t>
            </w:r>
          </w:p>
          <w:p>
            <w:pPr>
              <w:pStyle w:val="4"/>
              <w:widowControl/>
              <w:snapToGrid w:val="0"/>
              <w:spacing w:before="0" w:beforeAutospacing="0" w:after="0" w:afterAutospacing="0"/>
              <w:rPr>
                <w:rFonts w:hint="eastAsia" w:ascii="方正仿宋_GBK" w:hAnsi="方正仿宋_GBK" w:eastAsia="方正仿宋_GBK" w:cs="方正仿宋_GBK"/>
                <w:color w:val="000000"/>
                <w:sz w:val="20"/>
                <w:szCs w:val="20"/>
                <w:lang w:eastAsia="zh-CN"/>
              </w:rPr>
            </w:pPr>
            <w:r>
              <w:rPr>
                <w:rFonts w:hint="eastAsia" w:ascii="方正仿宋_GBK" w:hAnsi="方正仿宋_GBK" w:eastAsia="方正仿宋_GBK" w:cs="方正仿宋_GBK"/>
                <w:color w:val="333333"/>
                <w:sz w:val="20"/>
                <w:szCs w:val="20"/>
              </w:rPr>
              <w:t>（三）</w:t>
            </w:r>
            <w:r>
              <w:rPr>
                <w:rFonts w:hint="eastAsia" w:ascii="方正仿宋_GBK" w:hAnsi="方正仿宋_GBK" w:eastAsia="方正仿宋_GBK" w:cs="方正仿宋_GBK"/>
                <w:color w:val="000000"/>
                <w:sz w:val="20"/>
                <w:szCs w:val="20"/>
              </w:rPr>
              <w:t>同时在两个以上专利代理机构从事专利代理业务；</w:t>
            </w:r>
          </w:p>
          <w:p>
            <w:pPr>
              <w:pStyle w:val="4"/>
              <w:widowControl/>
              <w:snapToGrid w:val="0"/>
              <w:spacing w:before="0" w:beforeAutospacing="0" w:after="0" w:afterAutospacing="0"/>
              <w:rPr>
                <w:rFonts w:hint="eastAsia" w:ascii="方正仿宋_GBK" w:hAnsi="方正仿宋_GBK" w:eastAsia="方正仿宋_GBK" w:cs="方正仿宋_GBK"/>
                <w:color w:val="333333"/>
                <w:sz w:val="20"/>
                <w:szCs w:val="20"/>
                <w:lang w:eastAsia="zh-CN"/>
              </w:rPr>
            </w:pPr>
            <w:r>
              <w:rPr>
                <w:rFonts w:hint="eastAsia" w:ascii="方正仿宋_GBK" w:hAnsi="方正仿宋_GBK" w:eastAsia="方正仿宋_GBK" w:cs="方正仿宋_GBK"/>
                <w:color w:val="333333"/>
                <w:sz w:val="20"/>
                <w:szCs w:val="20"/>
              </w:rPr>
              <w:t>（四）违反本条例规定对其审查、审理或者处理过的专利申请或专利案件进行代理；</w:t>
            </w:r>
          </w:p>
          <w:p>
            <w:pPr>
              <w:pStyle w:val="4"/>
              <w:widowControl/>
              <w:snapToGrid w:val="0"/>
              <w:spacing w:before="0" w:beforeAutospacing="0" w:after="0" w:afterAutospacing="0"/>
              <w:rPr>
                <w:rFonts w:hint="eastAsia" w:ascii="方正仿宋_GBK" w:hAnsi="方正仿宋_GBK" w:eastAsia="方正仿宋_GBK" w:cs="方正仿宋_GBK"/>
                <w:color w:val="333333"/>
                <w:sz w:val="20"/>
                <w:szCs w:val="20"/>
                <w:lang w:eastAsia="zh-CN"/>
              </w:rPr>
            </w:pPr>
            <w:r>
              <w:rPr>
                <w:rFonts w:hint="eastAsia" w:ascii="方正仿宋_GBK" w:hAnsi="方正仿宋_GBK" w:eastAsia="方正仿宋_GBK" w:cs="方正仿宋_GBK"/>
                <w:color w:val="333333"/>
                <w:sz w:val="20"/>
                <w:szCs w:val="20"/>
              </w:rPr>
              <w:t>（五）泄露委托人的发明创造内容，或者以自己的名义申请专利或请求宣告专利权无效。</w:t>
            </w:r>
          </w:p>
          <w:p>
            <w:pPr>
              <w:pStyle w:val="4"/>
              <w:widowControl/>
              <w:snapToGrid w:val="0"/>
              <w:spacing w:before="0" w:beforeAutospacing="0" w:after="0" w:afterAutospacing="0"/>
              <w:rPr>
                <w:rFonts w:hint="eastAsia" w:ascii="方正仿宋_GBK" w:hAnsi="方正仿宋_GBK" w:eastAsia="方正仿宋_GBK" w:cs="方正仿宋_GBK"/>
                <w:color w:val="333333"/>
                <w:sz w:val="20"/>
                <w:szCs w:val="20"/>
                <w:lang w:eastAsia="zh-CN"/>
              </w:rPr>
            </w:pPr>
            <w:r>
              <w:rPr>
                <w:rFonts w:hint="eastAsia" w:ascii="方正仿宋_GBK" w:hAnsi="方正仿宋_GBK" w:eastAsia="方正仿宋_GBK" w:cs="方正仿宋_GBK"/>
                <w:color w:val="333333"/>
                <w:sz w:val="20"/>
                <w:szCs w:val="20"/>
              </w:rPr>
              <w:t>专利代理师在执业过程中泄露委托人的发明创造内容，涉及泄露国家秘密、侵犯商业秘密的，或者向有关行政、司法机关的工作人员行贿，提供虚假证据的，依照有关法律、行政法规的规定承担法律责任；由国务院专利行政部门吊销专利代理师资格证。</w:t>
            </w:r>
          </w:p>
          <w:p>
            <w:pPr>
              <w:pStyle w:val="4"/>
              <w:widowControl/>
              <w:snapToGrid w:val="0"/>
              <w:spacing w:before="0" w:beforeAutospacing="0" w:after="0" w:afterAutospacing="0"/>
              <w:rPr>
                <w:rFonts w:hint="eastAsia" w:ascii="方正仿宋_GBK" w:hAnsi="方正仿宋_GBK" w:eastAsia="方正仿宋_GBK" w:cs="方正仿宋_GBK"/>
                <w:color w:val="333333"/>
                <w:sz w:val="20"/>
                <w:szCs w:val="20"/>
                <w:lang w:eastAsia="zh-CN"/>
              </w:rPr>
            </w:pPr>
          </w:p>
          <w:p>
            <w:pPr>
              <w:pStyle w:val="4"/>
              <w:widowControl/>
              <w:snapToGrid w:val="0"/>
              <w:spacing w:before="0" w:beforeAutospacing="0" w:after="0" w:afterAutospacing="0"/>
            </w:pPr>
            <w:r>
              <w:rPr>
                <w:rFonts w:hint="eastAsia" w:ascii="方正仿宋_GBK" w:hAnsi="方正仿宋_GBK" w:eastAsia="方正仿宋_GBK" w:cs="方正仿宋_GBK"/>
                <w:b/>
                <w:bCs/>
                <w:color w:val="333333"/>
                <w:sz w:val="20"/>
                <w:szCs w:val="20"/>
              </w:rPr>
              <w:t xml:space="preserve">第二十七条 </w:t>
            </w:r>
            <w:r>
              <w:rPr>
                <w:rFonts w:hint="eastAsia" w:ascii="方正仿宋_GBK" w:hAnsi="方正仿宋_GBK" w:eastAsia="方正仿宋_GBK" w:cs="方正仿宋_GBK"/>
                <w:color w:val="333333"/>
                <w:sz w:val="20"/>
                <w:szCs w:val="20"/>
              </w:rPr>
              <w:t>违反本条例规定擅自开展专利代理业务的，由省、自治区、直辖市人民政府管理专利工作的部门责令停止违法行为，没收违法所得，并处违法所得</w:t>
            </w:r>
            <w:r>
              <w:rPr>
                <w:rFonts w:ascii="Times New Roman" w:hAnsi="Times New Roman"/>
                <w:color w:val="333333"/>
                <w:sz w:val="20"/>
                <w:szCs w:val="20"/>
              </w:rPr>
              <w:t>1</w:t>
            </w:r>
            <w:r>
              <w:rPr>
                <w:rFonts w:hint="eastAsia" w:ascii="方正仿宋_GBK" w:hAnsi="方正仿宋_GBK" w:eastAsia="方正仿宋_GBK" w:cs="方正仿宋_GBK"/>
                <w:color w:val="333333"/>
                <w:sz w:val="20"/>
                <w:szCs w:val="20"/>
              </w:rPr>
              <w:t>倍以上</w:t>
            </w:r>
            <w:r>
              <w:rPr>
                <w:rFonts w:ascii="Times New Roman" w:hAnsi="Times New Roman"/>
                <w:color w:val="333333"/>
                <w:sz w:val="20"/>
                <w:szCs w:val="20"/>
              </w:rPr>
              <w:t>5</w:t>
            </w:r>
            <w:r>
              <w:rPr>
                <w:rFonts w:hint="eastAsia" w:ascii="方正仿宋_GBK" w:hAnsi="方正仿宋_GBK" w:eastAsia="方正仿宋_GBK" w:cs="方正仿宋_GBK"/>
                <w:color w:val="333333"/>
                <w:sz w:val="20"/>
                <w:szCs w:val="20"/>
              </w:rPr>
              <w:t>倍以下的罚款。</w:t>
            </w:r>
          </w:p>
          <w:p>
            <w:pPr>
              <w:pStyle w:val="4"/>
              <w:widowControl/>
              <w:snapToGrid w:val="0"/>
              <w:spacing w:before="0" w:beforeAutospacing="0" w:after="0" w:afterAutospacing="0"/>
              <w:rPr>
                <w:sz w:val="31"/>
                <w:szCs w:val="31"/>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380" w:type="dxa"/>
            <w:vMerge w:val="continue"/>
            <w:tcBorders>
              <w:top w:val="single" w:color="000000" w:sz="6" w:space="0"/>
              <w:left w:val="single" w:color="000000" w:sz="6" w:space="0"/>
              <w:bottom w:val="single" w:color="000000" w:sz="6" w:space="0"/>
              <w:right w:val="single" w:color="000000" w:sz="6" w:space="0"/>
            </w:tcBorders>
            <w:noWrap w:val="0"/>
            <w:tcMar>
              <w:top w:w="14" w:type="dxa"/>
              <w:left w:w="14" w:type="dxa"/>
              <w:right w:w="14" w:type="dxa"/>
            </w:tcMar>
            <w:vAlign w:val="center"/>
          </w:tcPr>
          <w:p>
            <w:pPr>
              <w:snapToGrid w:val="0"/>
              <w:rPr>
                <w:rFonts w:hint="eastAsia" w:ascii="宋体"/>
                <w:color w:val="333333"/>
                <w:sz w:val="24"/>
              </w:rPr>
            </w:pPr>
          </w:p>
        </w:tc>
        <w:tc>
          <w:tcPr>
            <w:tcW w:w="553" w:type="dxa"/>
            <w:vMerge w:val="continue"/>
            <w:tcBorders>
              <w:top w:val="single" w:color="000000" w:sz="6" w:space="0"/>
              <w:left w:val="single" w:color="000000" w:sz="6" w:space="0"/>
              <w:bottom w:val="single" w:color="000000" w:sz="6" w:space="0"/>
              <w:right w:val="single" w:color="000000" w:sz="6" w:space="0"/>
            </w:tcBorders>
            <w:noWrap w:val="0"/>
            <w:tcMar>
              <w:top w:w="14" w:type="dxa"/>
              <w:left w:w="14" w:type="dxa"/>
              <w:right w:w="14" w:type="dxa"/>
            </w:tcMar>
            <w:vAlign w:val="center"/>
          </w:tcPr>
          <w:p>
            <w:pPr>
              <w:snapToGrid w:val="0"/>
              <w:rPr>
                <w:rFonts w:hint="eastAsia" w:ascii="宋体"/>
                <w:color w:val="333333"/>
                <w:sz w:val="24"/>
              </w:rPr>
            </w:pPr>
          </w:p>
        </w:tc>
        <w:tc>
          <w:tcPr>
            <w:tcW w:w="2708" w:type="dxa"/>
            <w:vMerge w:val="restart"/>
            <w:tcBorders>
              <w:top w:val="single" w:color="000000" w:sz="6" w:space="0"/>
              <w:left w:val="single" w:color="000000" w:sz="6" w:space="0"/>
              <w:bottom w:val="single" w:color="000000" w:sz="6" w:space="0"/>
              <w:right w:val="single" w:color="000000" w:sz="6" w:space="0"/>
            </w:tcBorders>
            <w:noWrap w:val="0"/>
            <w:tcMar>
              <w:top w:w="14" w:type="dxa"/>
              <w:left w:w="14" w:type="dxa"/>
              <w:right w:w="14" w:type="dxa"/>
            </w:tcMar>
            <w:vAlign w:val="center"/>
          </w:tcPr>
          <w:p>
            <w:pPr>
              <w:pStyle w:val="4"/>
              <w:widowControl/>
              <w:snapToGrid w:val="0"/>
              <w:spacing w:before="0" w:beforeAutospacing="0" w:after="0" w:afterAutospacing="0"/>
              <w:rPr>
                <w:sz w:val="31"/>
                <w:szCs w:val="31"/>
              </w:rPr>
            </w:pPr>
            <w:r>
              <w:rPr>
                <w:rFonts w:hint="eastAsia" w:ascii="方正仿宋_GBK" w:hAnsi="方正仿宋_GBK" w:eastAsia="方正仿宋_GBK" w:cs="方正仿宋_GBK"/>
                <w:color w:val="000000"/>
                <w:sz w:val="20"/>
                <w:szCs w:val="20"/>
              </w:rPr>
              <w:t>价格串通、低价倾销、哄抬价格；对关系国计民生的商品或者服务不执行政府定价、政府指导价，不执行为应对突发事件采取的价格干预措施、紧急措施；</w:t>
            </w:r>
          </w:p>
        </w:tc>
        <w:tc>
          <w:tcPr>
            <w:tcW w:w="6559" w:type="dxa"/>
            <w:tcBorders>
              <w:top w:val="single" w:color="000000" w:sz="6" w:space="0"/>
              <w:left w:val="single" w:color="000000" w:sz="6" w:space="0"/>
              <w:bottom w:val="single" w:color="000000" w:sz="6" w:space="0"/>
              <w:right w:val="single" w:color="000000" w:sz="6" w:space="0"/>
            </w:tcBorders>
            <w:noWrap w:val="0"/>
            <w:tcMar>
              <w:top w:w="14" w:type="dxa"/>
              <w:left w:w="14" w:type="dxa"/>
              <w:right w:w="14" w:type="dxa"/>
            </w:tcMar>
            <w:vAlign w:val="center"/>
          </w:tcPr>
          <w:p>
            <w:pPr>
              <w:pStyle w:val="4"/>
              <w:widowControl/>
              <w:snapToGrid w:val="0"/>
              <w:spacing w:before="0" w:beforeAutospacing="0" w:after="0" w:afterAutospacing="0"/>
              <w:rPr>
                <w:sz w:val="31"/>
                <w:szCs w:val="31"/>
              </w:rPr>
            </w:pPr>
            <w:r>
              <w:rPr>
                <w:rFonts w:hint="eastAsia" w:ascii="方正仿宋_GBK" w:hAnsi="方正仿宋_GBK" w:eastAsia="方正仿宋_GBK" w:cs="方正仿宋_GBK"/>
                <w:b/>
                <w:bCs/>
                <w:color w:val="000000"/>
                <w:sz w:val="20"/>
                <w:szCs w:val="20"/>
              </w:rPr>
              <w:t>《价格法》第三十九条</w:t>
            </w:r>
            <w:r>
              <w:rPr>
                <w:rFonts w:hint="eastAsia" w:ascii="方正仿宋_GBK" w:hAnsi="方正仿宋_GBK" w:eastAsia="方正仿宋_GBK" w:cs="方正仿宋_GBK"/>
                <w:color w:val="000000"/>
                <w:sz w:val="20"/>
                <w:szCs w:val="20"/>
              </w:rPr>
              <w:t>： 经营者不执行政府指导价、政府定价以及法定的价格干预措施、紧急措施的，责令改正，没收违法所得，可以并处违法所得五倍以下的罚款；没有违法所得的，可以处以罚款；情节严重的，责令停业整顿。</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90" w:hRule="atLeast"/>
          <w:jc w:val="center"/>
        </w:trPr>
        <w:tc>
          <w:tcPr>
            <w:tcW w:w="380" w:type="dxa"/>
            <w:vMerge w:val="continue"/>
            <w:tcBorders>
              <w:top w:val="single" w:color="000000" w:sz="6" w:space="0"/>
              <w:left w:val="single" w:color="000000" w:sz="6" w:space="0"/>
              <w:bottom w:val="single" w:color="000000" w:sz="6" w:space="0"/>
              <w:right w:val="single" w:color="000000" w:sz="6" w:space="0"/>
            </w:tcBorders>
            <w:noWrap w:val="0"/>
            <w:tcMar>
              <w:top w:w="14" w:type="dxa"/>
              <w:left w:w="14" w:type="dxa"/>
              <w:right w:w="14" w:type="dxa"/>
            </w:tcMar>
            <w:vAlign w:val="center"/>
          </w:tcPr>
          <w:p>
            <w:pPr>
              <w:snapToGrid w:val="0"/>
              <w:rPr>
                <w:rFonts w:hint="eastAsia" w:ascii="宋体"/>
                <w:color w:val="333333"/>
                <w:sz w:val="24"/>
              </w:rPr>
            </w:pPr>
          </w:p>
        </w:tc>
        <w:tc>
          <w:tcPr>
            <w:tcW w:w="553" w:type="dxa"/>
            <w:vMerge w:val="continue"/>
            <w:tcBorders>
              <w:top w:val="single" w:color="000000" w:sz="6" w:space="0"/>
              <w:left w:val="single" w:color="000000" w:sz="6" w:space="0"/>
              <w:bottom w:val="single" w:color="000000" w:sz="6" w:space="0"/>
              <w:right w:val="single" w:color="000000" w:sz="6" w:space="0"/>
            </w:tcBorders>
            <w:noWrap w:val="0"/>
            <w:tcMar>
              <w:top w:w="14" w:type="dxa"/>
              <w:left w:w="14" w:type="dxa"/>
              <w:right w:w="14" w:type="dxa"/>
            </w:tcMar>
            <w:vAlign w:val="center"/>
          </w:tcPr>
          <w:p>
            <w:pPr>
              <w:snapToGrid w:val="0"/>
              <w:rPr>
                <w:rFonts w:hint="eastAsia" w:ascii="宋体"/>
                <w:color w:val="333333"/>
                <w:sz w:val="24"/>
              </w:rPr>
            </w:pPr>
          </w:p>
        </w:tc>
        <w:tc>
          <w:tcPr>
            <w:tcW w:w="2708" w:type="dxa"/>
            <w:vMerge w:val="continue"/>
            <w:tcBorders>
              <w:top w:val="single" w:color="000000" w:sz="6" w:space="0"/>
              <w:left w:val="single" w:color="000000" w:sz="6" w:space="0"/>
              <w:bottom w:val="single" w:color="000000" w:sz="6" w:space="0"/>
              <w:right w:val="single" w:color="000000" w:sz="6" w:space="0"/>
            </w:tcBorders>
            <w:noWrap w:val="0"/>
            <w:tcMar>
              <w:top w:w="14" w:type="dxa"/>
              <w:left w:w="14" w:type="dxa"/>
              <w:right w:w="14" w:type="dxa"/>
            </w:tcMar>
            <w:vAlign w:val="center"/>
          </w:tcPr>
          <w:p>
            <w:pPr>
              <w:snapToGrid w:val="0"/>
              <w:rPr>
                <w:rFonts w:hint="eastAsia" w:ascii="宋体"/>
                <w:color w:val="333333"/>
                <w:sz w:val="24"/>
              </w:rPr>
            </w:pPr>
          </w:p>
        </w:tc>
        <w:tc>
          <w:tcPr>
            <w:tcW w:w="6559" w:type="dxa"/>
            <w:tcBorders>
              <w:top w:val="single" w:color="000000" w:sz="6" w:space="0"/>
              <w:left w:val="single" w:color="000000" w:sz="6" w:space="0"/>
              <w:bottom w:val="single" w:color="000000" w:sz="6" w:space="0"/>
              <w:right w:val="single" w:color="000000" w:sz="6" w:space="0"/>
            </w:tcBorders>
            <w:noWrap w:val="0"/>
            <w:tcMar>
              <w:top w:w="14" w:type="dxa"/>
              <w:left w:w="14" w:type="dxa"/>
              <w:right w:w="14" w:type="dxa"/>
            </w:tcMar>
            <w:vAlign w:val="center"/>
          </w:tcPr>
          <w:p>
            <w:pPr>
              <w:pStyle w:val="4"/>
              <w:widowControl/>
              <w:snapToGrid w:val="0"/>
              <w:spacing w:before="0" w:beforeAutospacing="0" w:after="0" w:afterAutospacing="0"/>
              <w:rPr>
                <w:rFonts w:hint="eastAsia" w:ascii="方正仿宋_GBK" w:hAnsi="方正仿宋_GBK" w:eastAsia="方正仿宋_GBK" w:cs="方正仿宋_GBK"/>
                <w:color w:val="000000"/>
                <w:sz w:val="20"/>
                <w:szCs w:val="20"/>
                <w:lang w:eastAsia="zh-CN"/>
              </w:rPr>
            </w:pPr>
            <w:r>
              <w:rPr>
                <w:rFonts w:hint="eastAsia" w:ascii="方正仿宋_GBK" w:hAnsi="方正仿宋_GBK" w:eastAsia="方正仿宋_GBK" w:cs="方正仿宋_GBK"/>
                <w:b/>
                <w:bCs/>
                <w:color w:val="000000"/>
                <w:sz w:val="20"/>
                <w:szCs w:val="20"/>
              </w:rPr>
              <w:t>《价格法》第四十条</w:t>
            </w:r>
            <w:r>
              <w:rPr>
                <w:rFonts w:hint="eastAsia" w:ascii="方正仿宋_GBK" w:hAnsi="方正仿宋_GBK" w:eastAsia="方正仿宋_GBK" w:cs="方正仿宋_GBK"/>
                <w:color w:val="000000"/>
                <w:sz w:val="20"/>
                <w:szCs w:val="20"/>
              </w:rPr>
              <w:t>：经营者有本法第十四条所列行为之一的，责令改正，没收违法所得，可以并处违法所得五倍以下的罚款；没有违法所得的，予以警告，可以并处罚款；情节严重的，责令停业整顿，或者由工商行政管理机关吊销营业执照。有关法律对本法第十四条所列行为的处罚及处罚机关另有规定的，可以依照有关法律的规定执行。</w:t>
            </w:r>
          </w:p>
          <w:p>
            <w:pPr>
              <w:pStyle w:val="4"/>
              <w:widowControl/>
              <w:snapToGrid w:val="0"/>
              <w:spacing w:before="0" w:beforeAutospacing="0" w:after="0" w:afterAutospacing="0"/>
              <w:rPr>
                <w:sz w:val="31"/>
                <w:szCs w:val="31"/>
              </w:rPr>
            </w:pPr>
            <w:r>
              <w:rPr>
                <w:rFonts w:hint="eastAsia" w:ascii="方正仿宋_GBK" w:hAnsi="方正仿宋_GBK" w:eastAsia="方正仿宋_GBK" w:cs="方正仿宋_GBK"/>
                <w:color w:val="333333"/>
                <w:sz w:val="20"/>
                <w:szCs w:val="20"/>
              </w:rPr>
              <w:t>有本法第十四条第（一）项、第（二）项所列行为，属于是全国性的，由国务院价格主管部门认定；属于是省及省以下区域性的，由省、自治区、直辖市人民政府价格主管部门认定。</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380" w:type="dxa"/>
            <w:vMerge w:val="continue"/>
            <w:tcBorders>
              <w:top w:val="single" w:color="000000" w:sz="6" w:space="0"/>
              <w:left w:val="single" w:color="000000" w:sz="6" w:space="0"/>
              <w:bottom w:val="single" w:color="000000" w:sz="6" w:space="0"/>
              <w:right w:val="single" w:color="000000" w:sz="6" w:space="0"/>
            </w:tcBorders>
            <w:noWrap w:val="0"/>
            <w:tcMar>
              <w:top w:w="14" w:type="dxa"/>
              <w:left w:w="14" w:type="dxa"/>
              <w:right w:w="14" w:type="dxa"/>
            </w:tcMar>
            <w:vAlign w:val="center"/>
          </w:tcPr>
          <w:p>
            <w:pPr>
              <w:snapToGrid w:val="0"/>
              <w:rPr>
                <w:rFonts w:hint="eastAsia" w:ascii="宋体"/>
                <w:color w:val="333333"/>
                <w:sz w:val="24"/>
              </w:rPr>
            </w:pPr>
          </w:p>
        </w:tc>
        <w:tc>
          <w:tcPr>
            <w:tcW w:w="553" w:type="dxa"/>
            <w:vMerge w:val="continue"/>
            <w:tcBorders>
              <w:top w:val="single" w:color="000000" w:sz="6" w:space="0"/>
              <w:left w:val="single" w:color="000000" w:sz="6" w:space="0"/>
              <w:bottom w:val="single" w:color="000000" w:sz="6" w:space="0"/>
              <w:right w:val="single" w:color="000000" w:sz="6" w:space="0"/>
            </w:tcBorders>
            <w:noWrap w:val="0"/>
            <w:tcMar>
              <w:top w:w="14" w:type="dxa"/>
              <w:left w:w="14" w:type="dxa"/>
              <w:right w:w="14" w:type="dxa"/>
            </w:tcMar>
            <w:vAlign w:val="center"/>
          </w:tcPr>
          <w:p>
            <w:pPr>
              <w:snapToGrid w:val="0"/>
              <w:rPr>
                <w:rFonts w:hint="eastAsia" w:ascii="宋体"/>
                <w:color w:val="333333"/>
                <w:sz w:val="24"/>
              </w:rPr>
            </w:pPr>
          </w:p>
        </w:tc>
        <w:tc>
          <w:tcPr>
            <w:tcW w:w="2708" w:type="dxa"/>
            <w:vMerge w:val="continue"/>
            <w:tcBorders>
              <w:top w:val="single" w:color="000000" w:sz="6" w:space="0"/>
              <w:left w:val="single" w:color="000000" w:sz="6" w:space="0"/>
              <w:bottom w:val="single" w:color="000000" w:sz="6" w:space="0"/>
              <w:right w:val="single" w:color="000000" w:sz="6" w:space="0"/>
            </w:tcBorders>
            <w:noWrap w:val="0"/>
            <w:tcMar>
              <w:top w:w="14" w:type="dxa"/>
              <w:left w:w="14" w:type="dxa"/>
              <w:right w:w="14" w:type="dxa"/>
            </w:tcMar>
            <w:vAlign w:val="center"/>
          </w:tcPr>
          <w:p>
            <w:pPr>
              <w:snapToGrid w:val="0"/>
              <w:rPr>
                <w:rFonts w:hint="eastAsia" w:ascii="宋体"/>
                <w:color w:val="333333"/>
                <w:sz w:val="24"/>
              </w:rPr>
            </w:pPr>
          </w:p>
        </w:tc>
        <w:tc>
          <w:tcPr>
            <w:tcW w:w="6559" w:type="dxa"/>
            <w:tcBorders>
              <w:top w:val="single" w:color="000000" w:sz="6" w:space="0"/>
              <w:left w:val="single" w:color="000000" w:sz="6" w:space="0"/>
              <w:bottom w:val="single" w:color="000000" w:sz="6" w:space="0"/>
              <w:right w:val="single" w:color="000000" w:sz="6" w:space="0"/>
            </w:tcBorders>
            <w:noWrap w:val="0"/>
            <w:tcMar>
              <w:top w:w="14" w:type="dxa"/>
              <w:left w:w="14" w:type="dxa"/>
              <w:right w:w="14" w:type="dxa"/>
            </w:tcMar>
            <w:vAlign w:val="center"/>
          </w:tcPr>
          <w:p>
            <w:pPr>
              <w:pStyle w:val="4"/>
              <w:widowControl/>
              <w:snapToGrid w:val="0"/>
              <w:spacing w:before="0" w:beforeAutospacing="0" w:after="0" w:afterAutospacing="0"/>
              <w:rPr>
                <w:sz w:val="31"/>
                <w:szCs w:val="31"/>
              </w:rPr>
            </w:pPr>
            <w:r>
              <w:rPr>
                <w:rFonts w:hint="eastAsia" w:ascii="方正仿宋_GBK" w:hAnsi="方正仿宋_GBK" w:eastAsia="方正仿宋_GBK" w:cs="方正仿宋_GBK"/>
                <w:b/>
                <w:bCs/>
                <w:color w:val="000000"/>
                <w:sz w:val="20"/>
                <w:szCs w:val="20"/>
              </w:rPr>
              <w:t>《价格违法行为行政处罚规定》第六条</w:t>
            </w:r>
            <w:r>
              <w:rPr>
                <w:rFonts w:hint="eastAsia" w:ascii="方正仿宋_GBK" w:hAnsi="方正仿宋_GBK" w:eastAsia="方正仿宋_GBK" w:cs="方正仿宋_GBK"/>
                <w:color w:val="000000"/>
                <w:sz w:val="20"/>
                <w:szCs w:val="20"/>
              </w:rPr>
              <w:t xml:space="preserve"> 经营者违反价格法第十四条的规定，有下列推动商品价格过快、过高上涨行为之一的，责令改正，没收违法所得，并处违法所得５倍以下的罚款；没有违法所得的，处５万元以上５０万元以下的罚款，情节较重的处５０万元以上３００万元以下的罚款；情节严重的，责令停业整顿，或者由工商行政管理机关吊销营业执照：</w:t>
            </w:r>
            <w:r>
              <w:rPr>
                <w:rFonts w:hint="eastAsia" w:ascii="方正仿宋_GBK" w:hAnsi="方正仿宋_GBK" w:eastAsia="方正仿宋_GBK" w:cs="方正仿宋_GBK"/>
                <w:color w:val="333333"/>
                <w:sz w:val="20"/>
                <w:szCs w:val="20"/>
              </w:rPr>
              <w:t>...（三）利用其他手段哄抬价格，推动商品价格过快、过高上涨的。行业协会或者为商品交易提供服务的单位有前款规定的违法行为的，可以处５０万元以下的罚款；情节严重的，由登记管理机关依法撤销登记、吊销执照。前两款规定以外的其他单位散布虚假涨价信息，扰乱市场价格秩序，依法应当由其他主管机关查处的，价格主管部门</w:t>
            </w:r>
            <w:r>
              <w:rPr>
                <w:rFonts w:hint="eastAsia" w:ascii="方正仿宋_GBK" w:hAnsi="方正仿宋_GBK" w:eastAsia="方正仿宋_GBK" w:cs="方正仿宋_GBK"/>
                <w:color w:val="000000"/>
                <w:sz w:val="20"/>
                <w:szCs w:val="20"/>
              </w:rPr>
              <w:t>可以提出依法处罚的建议，有关主管机关应当依法处罚。</w:t>
            </w:r>
          </w:p>
          <w:p>
            <w:pPr>
              <w:pStyle w:val="4"/>
              <w:widowControl/>
              <w:snapToGrid w:val="0"/>
              <w:spacing w:before="0" w:beforeAutospacing="0" w:after="0" w:afterAutospacing="0"/>
              <w:rPr>
                <w:sz w:val="31"/>
                <w:szCs w:val="31"/>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380" w:type="dxa"/>
            <w:vMerge w:val="continue"/>
            <w:tcBorders>
              <w:top w:val="single" w:color="000000" w:sz="6" w:space="0"/>
              <w:left w:val="single" w:color="000000" w:sz="6" w:space="0"/>
              <w:bottom w:val="single" w:color="000000" w:sz="6" w:space="0"/>
              <w:right w:val="single" w:color="000000" w:sz="6" w:space="0"/>
            </w:tcBorders>
            <w:noWrap w:val="0"/>
            <w:tcMar>
              <w:top w:w="14" w:type="dxa"/>
              <w:left w:w="14" w:type="dxa"/>
              <w:right w:w="14" w:type="dxa"/>
            </w:tcMar>
            <w:vAlign w:val="center"/>
          </w:tcPr>
          <w:p>
            <w:pPr>
              <w:snapToGrid w:val="0"/>
              <w:rPr>
                <w:rFonts w:hint="eastAsia" w:ascii="宋体"/>
                <w:color w:val="333333"/>
                <w:sz w:val="24"/>
              </w:rPr>
            </w:pPr>
          </w:p>
        </w:tc>
        <w:tc>
          <w:tcPr>
            <w:tcW w:w="553" w:type="dxa"/>
            <w:vMerge w:val="continue"/>
            <w:tcBorders>
              <w:top w:val="single" w:color="000000" w:sz="6" w:space="0"/>
              <w:left w:val="single" w:color="000000" w:sz="6" w:space="0"/>
              <w:bottom w:val="single" w:color="000000" w:sz="6" w:space="0"/>
              <w:right w:val="single" w:color="000000" w:sz="6" w:space="0"/>
            </w:tcBorders>
            <w:noWrap w:val="0"/>
            <w:tcMar>
              <w:top w:w="14" w:type="dxa"/>
              <w:left w:w="14" w:type="dxa"/>
              <w:right w:w="14" w:type="dxa"/>
            </w:tcMar>
            <w:vAlign w:val="center"/>
          </w:tcPr>
          <w:p>
            <w:pPr>
              <w:snapToGrid w:val="0"/>
              <w:rPr>
                <w:rFonts w:hint="eastAsia" w:ascii="宋体"/>
                <w:color w:val="333333"/>
                <w:sz w:val="24"/>
              </w:rPr>
            </w:pPr>
          </w:p>
        </w:tc>
        <w:tc>
          <w:tcPr>
            <w:tcW w:w="2708" w:type="dxa"/>
            <w:tcBorders>
              <w:top w:val="single" w:color="000000" w:sz="6" w:space="0"/>
              <w:left w:val="single" w:color="000000" w:sz="6" w:space="0"/>
              <w:bottom w:val="single" w:color="000000" w:sz="6" w:space="0"/>
              <w:right w:val="single" w:color="000000" w:sz="6" w:space="0"/>
            </w:tcBorders>
            <w:noWrap w:val="0"/>
            <w:tcMar>
              <w:top w:w="14" w:type="dxa"/>
              <w:left w:w="14" w:type="dxa"/>
              <w:right w:w="14" w:type="dxa"/>
            </w:tcMar>
            <w:vAlign w:val="center"/>
          </w:tcPr>
          <w:p>
            <w:pPr>
              <w:pStyle w:val="4"/>
              <w:widowControl/>
              <w:snapToGrid w:val="0"/>
              <w:spacing w:before="0" w:beforeAutospacing="0" w:after="0" w:afterAutospacing="0"/>
              <w:rPr>
                <w:sz w:val="31"/>
                <w:szCs w:val="31"/>
              </w:rPr>
            </w:pPr>
            <w:r>
              <w:rPr>
                <w:rFonts w:hint="eastAsia" w:ascii="方正仿宋_GBK" w:hAnsi="方正仿宋_GBK" w:eastAsia="方正仿宋_GBK" w:cs="方正仿宋_GBK"/>
                <w:color w:val="000000"/>
                <w:sz w:val="20"/>
                <w:szCs w:val="20"/>
              </w:rPr>
              <w:t>组织、策划传销或者为传销提供便利条件</w:t>
            </w:r>
          </w:p>
        </w:tc>
        <w:tc>
          <w:tcPr>
            <w:tcW w:w="6559" w:type="dxa"/>
            <w:tcBorders>
              <w:top w:val="single" w:color="000000" w:sz="6" w:space="0"/>
              <w:left w:val="single" w:color="000000" w:sz="6" w:space="0"/>
              <w:bottom w:val="single" w:color="000000" w:sz="6" w:space="0"/>
              <w:right w:val="single" w:color="000000" w:sz="6" w:space="0"/>
            </w:tcBorders>
            <w:noWrap w:val="0"/>
            <w:tcMar>
              <w:top w:w="14" w:type="dxa"/>
              <w:left w:w="14" w:type="dxa"/>
              <w:right w:w="14" w:type="dxa"/>
            </w:tcMar>
            <w:vAlign w:val="center"/>
          </w:tcPr>
          <w:p>
            <w:pPr>
              <w:pStyle w:val="4"/>
              <w:widowControl/>
              <w:snapToGrid w:val="0"/>
              <w:spacing w:before="0" w:beforeAutospacing="0" w:after="0" w:afterAutospacing="0"/>
              <w:rPr>
                <w:rFonts w:hint="eastAsia" w:ascii="方正仿宋_GBK" w:hAnsi="方正仿宋_GBK" w:eastAsia="方正仿宋_GBK" w:cs="方正仿宋_GBK"/>
                <w:color w:val="333333"/>
                <w:sz w:val="20"/>
                <w:szCs w:val="20"/>
                <w:lang w:eastAsia="zh-CN"/>
              </w:rPr>
            </w:pPr>
            <w:r>
              <w:rPr>
                <w:rFonts w:hint="eastAsia" w:ascii="方正仿宋_GBK" w:hAnsi="方正仿宋_GBK" w:eastAsia="方正仿宋_GBK" w:cs="方正仿宋_GBK"/>
                <w:b/>
                <w:bCs/>
                <w:color w:val="000000"/>
                <w:sz w:val="20"/>
                <w:szCs w:val="20"/>
              </w:rPr>
              <w:t>《禁止传销条例》第二十四条：</w:t>
            </w:r>
            <w:r>
              <w:rPr>
                <w:rFonts w:hint="eastAsia" w:ascii="方正仿宋_GBK" w:hAnsi="方正仿宋_GBK" w:eastAsia="方正仿宋_GBK" w:cs="方正仿宋_GBK"/>
                <w:color w:val="000000"/>
                <w:sz w:val="20"/>
                <w:szCs w:val="20"/>
              </w:rPr>
              <w:t xml:space="preserve"> 有本条例第七条规定的行为，组织策划传销的，由工商行政管理部门没收非法财物，没收违法所得，处</w:t>
            </w:r>
            <w:r>
              <w:rPr>
                <w:rFonts w:hint="eastAsia" w:ascii="方正仿宋_GBK" w:hAnsi="方正仿宋_GBK" w:eastAsia="方正仿宋_GBK" w:cs="方正仿宋_GBK"/>
                <w:color w:val="333333"/>
                <w:sz w:val="20"/>
                <w:szCs w:val="20"/>
              </w:rPr>
              <w:t>50万元以上200万元以下的罚款；构成犯罪的，依法追究刑事责任。</w:t>
            </w:r>
          </w:p>
          <w:p>
            <w:pPr>
              <w:pStyle w:val="4"/>
              <w:widowControl/>
              <w:snapToGrid w:val="0"/>
              <w:spacing w:before="0" w:beforeAutospacing="0" w:after="0" w:afterAutospacing="0"/>
              <w:rPr>
                <w:rFonts w:hint="eastAsia" w:ascii="方正仿宋_GBK" w:hAnsi="方正仿宋_GBK" w:eastAsia="方正仿宋_GBK" w:cs="方正仿宋_GBK"/>
                <w:color w:val="333333"/>
                <w:sz w:val="20"/>
                <w:szCs w:val="20"/>
                <w:lang w:eastAsia="zh-CN"/>
              </w:rPr>
            </w:pPr>
            <w:r>
              <w:rPr>
                <w:rFonts w:hint="eastAsia" w:ascii="方正仿宋_GBK" w:hAnsi="方正仿宋_GBK" w:eastAsia="方正仿宋_GBK" w:cs="方正仿宋_GBK"/>
                <w:color w:val="333333"/>
                <w:sz w:val="20"/>
                <w:szCs w:val="20"/>
              </w:rPr>
              <w:t>有本条例第七条规定的行为，介绍、诱骗、胁迫他人参加传销的，由工商行政管理部门责令停止违法行为，没收非法财物，没收违法所得，处10万元以上50万元以下的罚款；构成犯罪的，依法追究刑事责任。</w:t>
            </w:r>
          </w:p>
          <w:p>
            <w:pPr>
              <w:pStyle w:val="4"/>
              <w:widowControl/>
              <w:snapToGrid w:val="0"/>
              <w:spacing w:before="0" w:beforeAutospacing="0" w:after="0" w:afterAutospacing="0"/>
              <w:rPr>
                <w:rFonts w:hint="eastAsia" w:ascii="方正仿宋_GBK" w:hAnsi="方正仿宋_GBK" w:eastAsia="方正仿宋_GBK" w:cs="方正仿宋_GBK"/>
                <w:color w:val="333333"/>
                <w:sz w:val="20"/>
                <w:szCs w:val="20"/>
                <w:lang w:eastAsia="zh-CN"/>
              </w:rPr>
            </w:pPr>
            <w:r>
              <w:rPr>
                <w:rFonts w:hint="eastAsia" w:ascii="方正仿宋_GBK" w:hAnsi="方正仿宋_GBK" w:eastAsia="方正仿宋_GBK" w:cs="方正仿宋_GBK"/>
                <w:color w:val="333333"/>
                <w:sz w:val="20"/>
                <w:szCs w:val="20"/>
              </w:rPr>
              <w:t>有本条例第七条规定的行为，参加传销的，由工商行政管理部门责令停止违法行为，可以处2000元以下的罚款。</w:t>
            </w:r>
          </w:p>
          <w:p>
            <w:pPr>
              <w:pStyle w:val="4"/>
              <w:widowControl/>
              <w:snapToGrid w:val="0"/>
              <w:spacing w:before="0" w:beforeAutospacing="0" w:after="0" w:afterAutospacing="0"/>
              <w:rPr>
                <w:rFonts w:hint="eastAsia" w:ascii="方正仿宋_GBK" w:hAnsi="方正仿宋_GBK" w:eastAsia="方正仿宋_GBK" w:cs="方正仿宋_GBK"/>
                <w:color w:val="333333"/>
                <w:sz w:val="20"/>
                <w:szCs w:val="20"/>
                <w:lang w:eastAsia="zh-CN"/>
              </w:rPr>
            </w:pPr>
          </w:p>
          <w:p>
            <w:pPr>
              <w:pStyle w:val="4"/>
              <w:widowControl/>
              <w:snapToGrid w:val="0"/>
              <w:spacing w:before="0" w:beforeAutospacing="0" w:after="0" w:afterAutospacing="0"/>
              <w:rPr>
                <w:rFonts w:hint="eastAsia" w:ascii="方正仿宋_GBK" w:hAnsi="方正仿宋_GBK" w:eastAsia="方正仿宋_GBK" w:cs="方正仿宋_GBK"/>
                <w:color w:val="333333"/>
                <w:sz w:val="20"/>
                <w:szCs w:val="20"/>
                <w:lang w:eastAsia="zh-CN"/>
              </w:rPr>
            </w:pPr>
            <w:r>
              <w:rPr>
                <w:rFonts w:hint="eastAsia" w:ascii="方正仿宋_GBK" w:hAnsi="方正仿宋_GBK" w:eastAsia="方正仿宋_GBK" w:cs="方正仿宋_GBK"/>
                <w:b/>
                <w:bCs/>
                <w:color w:val="333333"/>
                <w:sz w:val="20"/>
                <w:szCs w:val="20"/>
              </w:rPr>
              <w:t>第二十五条</w:t>
            </w:r>
            <w:r>
              <w:rPr>
                <w:rFonts w:hint="eastAsia" w:ascii="方正仿宋_GBK" w:hAnsi="方正仿宋_GBK" w:eastAsia="方正仿宋_GBK" w:cs="方正仿宋_GBK"/>
                <w:color w:val="333333"/>
                <w:sz w:val="20"/>
                <w:szCs w:val="20"/>
              </w:rPr>
              <w:t>： 工商行政管理部门依照本条例第二十四条的规定进行处罚时，可以依照有关法律、行政法规的规定，责令停业整顿或者吊销营业执照。</w:t>
            </w:r>
          </w:p>
          <w:p>
            <w:pPr>
              <w:pStyle w:val="4"/>
              <w:widowControl/>
              <w:snapToGrid w:val="0"/>
              <w:spacing w:before="0" w:beforeAutospacing="0" w:after="0" w:afterAutospacing="0"/>
              <w:rPr>
                <w:rFonts w:hint="eastAsia" w:ascii="方正仿宋_GBK" w:hAnsi="方正仿宋_GBK" w:eastAsia="方正仿宋_GBK" w:cs="方正仿宋_GBK"/>
                <w:color w:val="333333"/>
                <w:sz w:val="20"/>
                <w:szCs w:val="20"/>
                <w:lang w:eastAsia="zh-CN"/>
              </w:rPr>
            </w:pPr>
          </w:p>
          <w:p>
            <w:pPr>
              <w:pStyle w:val="4"/>
              <w:widowControl/>
              <w:snapToGrid w:val="0"/>
              <w:spacing w:before="0" w:beforeAutospacing="0" w:after="0" w:afterAutospacing="0"/>
              <w:rPr>
                <w:rFonts w:hint="eastAsia" w:ascii="方正仿宋_GBK" w:hAnsi="方正仿宋_GBK" w:eastAsia="方正仿宋_GBK" w:cs="方正仿宋_GBK"/>
                <w:color w:val="333333"/>
                <w:sz w:val="20"/>
                <w:szCs w:val="20"/>
                <w:lang w:eastAsia="zh-CN"/>
              </w:rPr>
            </w:pPr>
            <w:r>
              <w:rPr>
                <w:rFonts w:hint="eastAsia" w:ascii="方正仿宋_GBK" w:hAnsi="方正仿宋_GBK" w:eastAsia="方正仿宋_GBK" w:cs="方正仿宋_GBK"/>
                <w:b/>
                <w:bCs/>
                <w:color w:val="333333"/>
                <w:sz w:val="20"/>
                <w:szCs w:val="20"/>
              </w:rPr>
              <w:t>第二十六条</w:t>
            </w:r>
            <w:r>
              <w:rPr>
                <w:rFonts w:hint="eastAsia" w:ascii="方正仿宋_GBK" w:hAnsi="方正仿宋_GBK" w:eastAsia="方正仿宋_GBK" w:cs="方正仿宋_GBK"/>
                <w:color w:val="333333"/>
                <w:sz w:val="20"/>
                <w:szCs w:val="20"/>
              </w:rPr>
              <w:t>：为本条例第七条规定的传销行为提供经营场所、培训场所、货源、保管、仓储等条件的，由工商行政管理部门责令停止违法行为，没收违法所得，处5万元以上50万元以下的罚款。</w:t>
            </w:r>
          </w:p>
          <w:p>
            <w:pPr>
              <w:pStyle w:val="4"/>
              <w:widowControl/>
              <w:snapToGrid w:val="0"/>
              <w:spacing w:before="0" w:beforeAutospacing="0" w:after="0" w:afterAutospacing="0"/>
              <w:rPr>
                <w:sz w:val="31"/>
                <w:szCs w:val="31"/>
              </w:rPr>
            </w:pPr>
            <w:r>
              <w:rPr>
                <w:rFonts w:hint="eastAsia" w:ascii="方正仿宋_GBK" w:hAnsi="方正仿宋_GBK" w:eastAsia="方正仿宋_GBK" w:cs="方正仿宋_GBK"/>
                <w:color w:val="333333"/>
                <w:sz w:val="20"/>
                <w:szCs w:val="20"/>
              </w:rPr>
              <w:t>为本条例第七条规定的传销行为提供互联网信息服务的，由工商行政管理部门责令停止违法行为，并通知有关部门依照《</w:t>
            </w:r>
            <w:r>
              <w:rPr>
                <w:rFonts w:hint="eastAsia" w:ascii="方正仿宋_GBK" w:hAnsi="方正仿宋_GBK" w:eastAsia="方正仿宋_GBK" w:cs="方正仿宋_GBK"/>
                <w:sz w:val="20"/>
                <w:szCs w:val="20"/>
                <w:u w:val="single"/>
              </w:rPr>
              <w:fldChar w:fldCharType="begin"/>
            </w:r>
            <w:r>
              <w:rPr>
                <w:rFonts w:hint="eastAsia" w:ascii="方正仿宋_GBK" w:hAnsi="方正仿宋_GBK" w:eastAsia="方正仿宋_GBK" w:cs="方正仿宋_GBK"/>
                <w:sz w:val="20"/>
                <w:szCs w:val="20"/>
                <w:u w:val="single"/>
              </w:rPr>
              <w:instrText xml:space="preserve"> HYPERLINK "http://172.16.120.34:168/web\\\\/golaw?dbnm=gjfg&amp;flid=112509200002" \t "http://172.16.120.34:168/_blank" </w:instrText>
            </w:r>
            <w:r>
              <w:rPr>
                <w:rFonts w:hint="eastAsia" w:ascii="方正仿宋_GBK" w:hAnsi="方正仿宋_GBK" w:eastAsia="方正仿宋_GBK" w:cs="方正仿宋_GBK"/>
                <w:sz w:val="20"/>
                <w:szCs w:val="20"/>
                <w:u w:val="single"/>
              </w:rPr>
              <w:fldChar w:fldCharType="separate"/>
            </w:r>
            <w:r>
              <w:rPr>
                <w:rStyle w:val="7"/>
                <w:rFonts w:hint="eastAsia" w:ascii="方正仿宋_GBK" w:hAnsi="方正仿宋_GBK" w:eastAsia="方正仿宋_GBK" w:cs="方正仿宋_GBK"/>
                <w:color w:val="auto"/>
                <w:sz w:val="20"/>
                <w:szCs w:val="20"/>
              </w:rPr>
              <w:t>互联网信息服务管理办法</w:t>
            </w:r>
            <w:r>
              <w:rPr>
                <w:rFonts w:hint="eastAsia" w:ascii="方正仿宋_GBK" w:hAnsi="方正仿宋_GBK" w:eastAsia="方正仿宋_GBK" w:cs="方正仿宋_GBK"/>
                <w:sz w:val="20"/>
                <w:szCs w:val="20"/>
                <w:u w:val="single"/>
              </w:rPr>
              <w:fldChar w:fldCharType="end"/>
            </w:r>
            <w:r>
              <w:rPr>
                <w:rFonts w:hint="eastAsia" w:ascii="方正仿宋_GBK" w:hAnsi="方正仿宋_GBK" w:eastAsia="方正仿宋_GBK" w:cs="方正仿宋_GBK"/>
                <w:sz w:val="20"/>
                <w:szCs w:val="20"/>
              </w:rPr>
              <w:t>》</w:t>
            </w:r>
            <w:r>
              <w:rPr>
                <w:rFonts w:hint="eastAsia" w:ascii="方正仿宋_GBK" w:hAnsi="方正仿宋_GBK" w:eastAsia="方正仿宋_GBK" w:cs="方正仿宋_GBK"/>
                <w:color w:val="333333"/>
                <w:sz w:val="20"/>
                <w:szCs w:val="20"/>
              </w:rPr>
              <w:t>予以处罚。</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380" w:type="dxa"/>
            <w:vMerge w:val="continue"/>
            <w:tcBorders>
              <w:top w:val="single" w:color="000000" w:sz="6" w:space="0"/>
              <w:left w:val="single" w:color="000000" w:sz="6" w:space="0"/>
              <w:bottom w:val="single" w:color="000000" w:sz="6" w:space="0"/>
              <w:right w:val="single" w:color="000000" w:sz="6" w:space="0"/>
            </w:tcBorders>
            <w:noWrap w:val="0"/>
            <w:tcMar>
              <w:top w:w="14" w:type="dxa"/>
              <w:left w:w="14" w:type="dxa"/>
              <w:right w:w="14" w:type="dxa"/>
            </w:tcMar>
            <w:vAlign w:val="center"/>
          </w:tcPr>
          <w:p>
            <w:pPr>
              <w:snapToGrid w:val="0"/>
              <w:rPr>
                <w:rFonts w:hint="eastAsia" w:ascii="宋体"/>
                <w:color w:val="333333"/>
                <w:sz w:val="24"/>
              </w:rPr>
            </w:pPr>
          </w:p>
        </w:tc>
        <w:tc>
          <w:tcPr>
            <w:tcW w:w="553" w:type="dxa"/>
            <w:vMerge w:val="continue"/>
            <w:tcBorders>
              <w:top w:val="single" w:color="000000" w:sz="6" w:space="0"/>
              <w:left w:val="single" w:color="000000" w:sz="6" w:space="0"/>
              <w:bottom w:val="single" w:color="000000" w:sz="6" w:space="0"/>
              <w:right w:val="single" w:color="000000" w:sz="6" w:space="0"/>
            </w:tcBorders>
            <w:noWrap w:val="0"/>
            <w:tcMar>
              <w:top w:w="14" w:type="dxa"/>
              <w:left w:w="14" w:type="dxa"/>
              <w:right w:w="14" w:type="dxa"/>
            </w:tcMar>
            <w:vAlign w:val="center"/>
          </w:tcPr>
          <w:p>
            <w:pPr>
              <w:snapToGrid w:val="0"/>
              <w:rPr>
                <w:rFonts w:hint="eastAsia" w:ascii="宋体"/>
                <w:color w:val="333333"/>
                <w:sz w:val="24"/>
              </w:rPr>
            </w:pPr>
          </w:p>
        </w:tc>
        <w:tc>
          <w:tcPr>
            <w:tcW w:w="2708" w:type="dxa"/>
            <w:tcBorders>
              <w:top w:val="single" w:color="000000" w:sz="6" w:space="0"/>
              <w:left w:val="single" w:color="000000" w:sz="6" w:space="0"/>
              <w:bottom w:val="single" w:color="000000" w:sz="6" w:space="0"/>
              <w:right w:val="single" w:color="000000" w:sz="6" w:space="0"/>
            </w:tcBorders>
            <w:noWrap w:val="0"/>
            <w:tcMar>
              <w:top w:w="14" w:type="dxa"/>
              <w:left w:w="14" w:type="dxa"/>
              <w:right w:w="14" w:type="dxa"/>
            </w:tcMar>
            <w:vAlign w:val="center"/>
          </w:tcPr>
          <w:p>
            <w:pPr>
              <w:pStyle w:val="4"/>
              <w:widowControl/>
              <w:snapToGrid w:val="0"/>
              <w:spacing w:before="0" w:beforeAutospacing="0" w:after="0" w:afterAutospacing="0"/>
              <w:rPr>
                <w:sz w:val="31"/>
                <w:szCs w:val="31"/>
              </w:rPr>
            </w:pPr>
            <w:r>
              <w:rPr>
                <w:rFonts w:hint="eastAsia" w:ascii="方正仿宋_GBK" w:hAnsi="方正仿宋_GBK" w:eastAsia="方正仿宋_GBK" w:cs="方正仿宋_GBK"/>
                <w:color w:val="000000"/>
                <w:sz w:val="20"/>
                <w:szCs w:val="20"/>
              </w:rPr>
              <w:t>发布关系消费者生命健康的商品或者服务的虚假广告</w:t>
            </w:r>
          </w:p>
        </w:tc>
        <w:tc>
          <w:tcPr>
            <w:tcW w:w="6559" w:type="dxa"/>
            <w:tcBorders>
              <w:top w:val="single" w:color="000000" w:sz="6" w:space="0"/>
              <w:left w:val="single" w:color="000000" w:sz="6" w:space="0"/>
              <w:bottom w:val="single" w:color="000000" w:sz="6" w:space="0"/>
              <w:right w:val="single" w:color="000000" w:sz="6" w:space="0"/>
            </w:tcBorders>
            <w:noWrap w:val="0"/>
            <w:tcMar>
              <w:top w:w="14" w:type="dxa"/>
              <w:left w:w="14" w:type="dxa"/>
              <w:right w:w="14" w:type="dxa"/>
            </w:tcMar>
            <w:vAlign w:val="center"/>
          </w:tcPr>
          <w:p>
            <w:pPr>
              <w:pStyle w:val="4"/>
              <w:widowControl/>
              <w:snapToGrid w:val="0"/>
              <w:spacing w:before="0" w:beforeAutospacing="0" w:after="0" w:afterAutospacing="0"/>
              <w:rPr>
                <w:rFonts w:hint="eastAsia" w:ascii="方正仿宋_GBK" w:hAnsi="方正仿宋_GBK" w:eastAsia="方正仿宋_GBK" w:cs="方正仿宋_GBK"/>
                <w:color w:val="000000"/>
                <w:sz w:val="20"/>
                <w:szCs w:val="20"/>
                <w:lang w:eastAsia="zh-CN"/>
              </w:rPr>
            </w:pPr>
            <w:r>
              <w:rPr>
                <w:rFonts w:hint="eastAsia" w:ascii="方正仿宋_GBK" w:hAnsi="方正仿宋_GBK" w:eastAsia="方正仿宋_GBK" w:cs="方正仿宋_GBK"/>
                <w:b/>
                <w:bCs/>
                <w:color w:val="000000"/>
                <w:sz w:val="20"/>
                <w:szCs w:val="20"/>
              </w:rPr>
              <w:t>《广告法》第五十五条</w:t>
            </w:r>
            <w:r>
              <w:rPr>
                <w:rFonts w:hint="eastAsia" w:ascii="方正仿宋_GBK" w:hAnsi="方正仿宋_GBK" w:eastAsia="方正仿宋_GBK" w:cs="方正仿宋_GBK"/>
                <w:color w:val="000000"/>
                <w:sz w:val="20"/>
                <w:szCs w:val="20"/>
              </w:rPr>
              <w:t>：违反本法规定，发布虚假广告的，由市场监督管理部门责令停止发布广告，责令广告主在相应范围内消除影响，处广告费用三倍以上五倍以下的罚款，广告费用无法计算或者明显偏低的，处二十万元以上一百万元以下的罚款；两年内有三次以上违法行为或者有其他严重情节的，处广告费用五倍以上十倍以下的罚款，广告费用无法计算或者明显偏低的，处一百万元以上二百万元以下的罚款，可以吊销营业执照，并由广告审查机关撤销广告审查批准文件、一年内不受理其广告审查申请。</w:t>
            </w:r>
          </w:p>
          <w:p>
            <w:pPr>
              <w:pStyle w:val="4"/>
              <w:widowControl/>
              <w:snapToGrid w:val="0"/>
              <w:spacing w:before="0" w:beforeAutospacing="0" w:after="0" w:afterAutospacing="0"/>
              <w:rPr>
                <w:rFonts w:hint="eastAsia" w:ascii="方正仿宋_GBK" w:hAnsi="方正仿宋_GBK" w:eastAsia="方正仿宋_GBK" w:cs="方正仿宋_GBK"/>
                <w:color w:val="333333"/>
                <w:sz w:val="20"/>
                <w:szCs w:val="20"/>
                <w:lang w:eastAsia="zh-CN"/>
              </w:rPr>
            </w:pPr>
            <w:r>
              <w:rPr>
                <w:rFonts w:hint="eastAsia" w:ascii="方正仿宋_GBK" w:hAnsi="方正仿宋_GBK" w:eastAsia="方正仿宋_GBK" w:cs="方正仿宋_GBK"/>
                <w:color w:val="333333"/>
                <w:sz w:val="20"/>
                <w:szCs w:val="20"/>
              </w:rPr>
              <w:t>医疗机构有前款规定违法行为，情节严重的，除由市场监督管理部门依照本法处罚外，卫生行政部门可以吊销诊疗科目或者吊销医疗机构执业许可证。</w:t>
            </w:r>
          </w:p>
          <w:p>
            <w:pPr>
              <w:pStyle w:val="4"/>
              <w:widowControl/>
              <w:snapToGrid w:val="0"/>
              <w:spacing w:before="0" w:beforeAutospacing="0" w:after="0" w:afterAutospacing="0"/>
              <w:rPr>
                <w:rFonts w:hint="eastAsia" w:ascii="方正仿宋_GBK" w:hAnsi="方正仿宋_GBK" w:eastAsia="方正仿宋_GBK" w:cs="方正仿宋_GBK"/>
                <w:color w:val="333333"/>
                <w:sz w:val="20"/>
                <w:szCs w:val="20"/>
                <w:lang w:eastAsia="zh-CN"/>
              </w:rPr>
            </w:pPr>
            <w:r>
              <w:rPr>
                <w:rFonts w:hint="eastAsia" w:ascii="方正仿宋_GBK" w:hAnsi="方正仿宋_GBK" w:eastAsia="方正仿宋_GBK" w:cs="方正仿宋_GBK"/>
                <w:color w:val="333333"/>
                <w:sz w:val="20"/>
                <w:szCs w:val="20"/>
              </w:rPr>
              <w:t>广告经营者、广告发布者明知或者应知广告虚假仍设计、制作、代理、发布的，由市场监督管理部门没收广告费用，并处广告费用三倍以上五倍以下的罚款，广告费用无法计算或者明显偏低的，处二十万元以上一百万元以下的罚款；两年内有三次以上违法行为或者有其他严重情节的，处广告费用五倍以上十倍以下的罚款，广告费用无法计算或者明显偏低的，处一百万元以上二百万元以下的罚款，并可以由有关部门暂停广告发布业务、吊销营业执照。</w:t>
            </w:r>
          </w:p>
          <w:p>
            <w:pPr>
              <w:pStyle w:val="4"/>
              <w:widowControl/>
              <w:snapToGrid w:val="0"/>
              <w:spacing w:before="0" w:beforeAutospacing="0" w:after="0" w:afterAutospacing="0"/>
              <w:rPr>
                <w:sz w:val="31"/>
                <w:szCs w:val="31"/>
              </w:rPr>
            </w:pPr>
            <w:r>
              <w:rPr>
                <w:rFonts w:hint="eastAsia" w:ascii="方正仿宋_GBK" w:hAnsi="方正仿宋_GBK" w:eastAsia="方正仿宋_GBK" w:cs="方正仿宋_GBK"/>
                <w:color w:val="333333"/>
                <w:sz w:val="20"/>
                <w:szCs w:val="20"/>
              </w:rPr>
              <w:t>广告主、广告经营者、广告发布者有本条第一款、第三款规定行为，构成犯罪的，依法追究刑事责任。</w:t>
            </w:r>
          </w:p>
          <w:p>
            <w:pPr>
              <w:pStyle w:val="4"/>
              <w:widowControl/>
              <w:snapToGrid w:val="0"/>
              <w:spacing w:before="0" w:beforeAutospacing="0" w:after="0" w:afterAutospacing="0"/>
              <w:ind w:left="5256"/>
              <w:rPr>
                <w:sz w:val="31"/>
                <w:szCs w:val="31"/>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380" w:type="dxa"/>
            <w:vMerge w:val="continue"/>
            <w:tcBorders>
              <w:top w:val="single" w:color="000000" w:sz="6" w:space="0"/>
              <w:left w:val="single" w:color="000000" w:sz="6" w:space="0"/>
              <w:bottom w:val="single" w:color="000000" w:sz="6" w:space="0"/>
              <w:right w:val="single" w:color="000000" w:sz="6" w:space="0"/>
            </w:tcBorders>
            <w:noWrap w:val="0"/>
            <w:tcMar>
              <w:top w:w="14" w:type="dxa"/>
              <w:left w:w="14" w:type="dxa"/>
              <w:right w:w="14" w:type="dxa"/>
            </w:tcMar>
            <w:vAlign w:val="center"/>
          </w:tcPr>
          <w:p>
            <w:pPr>
              <w:snapToGrid w:val="0"/>
              <w:rPr>
                <w:rFonts w:hint="eastAsia" w:ascii="宋体"/>
                <w:color w:val="333333"/>
                <w:sz w:val="24"/>
              </w:rPr>
            </w:pPr>
          </w:p>
        </w:tc>
        <w:tc>
          <w:tcPr>
            <w:tcW w:w="553" w:type="dxa"/>
            <w:vMerge w:val="continue"/>
            <w:tcBorders>
              <w:top w:val="single" w:color="000000" w:sz="6" w:space="0"/>
              <w:left w:val="single" w:color="000000" w:sz="6" w:space="0"/>
              <w:bottom w:val="single" w:color="000000" w:sz="6" w:space="0"/>
              <w:right w:val="single" w:color="000000" w:sz="6" w:space="0"/>
            </w:tcBorders>
            <w:noWrap w:val="0"/>
            <w:tcMar>
              <w:top w:w="14" w:type="dxa"/>
              <w:left w:w="14" w:type="dxa"/>
              <w:right w:w="14" w:type="dxa"/>
            </w:tcMar>
            <w:vAlign w:val="center"/>
          </w:tcPr>
          <w:p>
            <w:pPr>
              <w:snapToGrid w:val="0"/>
              <w:rPr>
                <w:rFonts w:hint="eastAsia" w:ascii="宋体"/>
                <w:color w:val="333333"/>
                <w:sz w:val="24"/>
              </w:rPr>
            </w:pPr>
          </w:p>
        </w:tc>
        <w:tc>
          <w:tcPr>
            <w:tcW w:w="2708" w:type="dxa"/>
            <w:tcBorders>
              <w:top w:val="single" w:color="000000" w:sz="6" w:space="0"/>
              <w:left w:val="single" w:color="000000" w:sz="6" w:space="0"/>
              <w:bottom w:val="single" w:color="000000" w:sz="6" w:space="0"/>
              <w:right w:val="single" w:color="000000" w:sz="6" w:space="0"/>
            </w:tcBorders>
            <w:noWrap w:val="0"/>
            <w:tcMar>
              <w:top w:w="14" w:type="dxa"/>
              <w:left w:w="14" w:type="dxa"/>
              <w:right w:w="14" w:type="dxa"/>
            </w:tcMar>
            <w:vAlign w:val="center"/>
          </w:tcPr>
          <w:p>
            <w:pPr>
              <w:pStyle w:val="4"/>
              <w:widowControl/>
              <w:snapToGrid w:val="0"/>
              <w:spacing w:before="0" w:beforeAutospacing="0" w:after="0" w:afterAutospacing="0"/>
              <w:rPr>
                <w:sz w:val="31"/>
                <w:szCs w:val="31"/>
              </w:rPr>
            </w:pPr>
            <w:r>
              <w:rPr>
                <w:rFonts w:hint="eastAsia" w:ascii="方正仿宋_GBK" w:hAnsi="方正仿宋_GBK" w:eastAsia="方正仿宋_GBK" w:cs="方正仿宋_GBK"/>
                <w:color w:val="000000"/>
                <w:sz w:val="20"/>
                <w:szCs w:val="20"/>
              </w:rPr>
              <w:t>其他违反法律、行政法规规定，严重破坏公平竞争秩序和扰乱市场秩序的违法行为。</w:t>
            </w:r>
          </w:p>
        </w:tc>
        <w:tc>
          <w:tcPr>
            <w:tcW w:w="6559" w:type="dxa"/>
            <w:tcBorders>
              <w:top w:val="single" w:color="000000" w:sz="6" w:space="0"/>
              <w:left w:val="single" w:color="000000" w:sz="6" w:space="0"/>
              <w:bottom w:val="single" w:color="000000" w:sz="6" w:space="0"/>
              <w:right w:val="single" w:color="000000" w:sz="6" w:space="0"/>
            </w:tcBorders>
            <w:noWrap w:val="0"/>
            <w:tcMar>
              <w:top w:w="14" w:type="dxa"/>
              <w:left w:w="14" w:type="dxa"/>
              <w:right w:w="14" w:type="dxa"/>
            </w:tcMar>
            <w:vAlign w:val="center"/>
          </w:tcPr>
          <w:p>
            <w:pPr>
              <w:pStyle w:val="4"/>
              <w:widowControl/>
              <w:snapToGrid w:val="0"/>
              <w:spacing w:before="0" w:beforeAutospacing="0" w:after="0" w:afterAutospacing="0"/>
              <w:rPr>
                <w:sz w:val="31"/>
                <w:szCs w:val="31"/>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380" w:type="dxa"/>
            <w:vMerge w:val="restart"/>
            <w:tcBorders>
              <w:top w:val="single" w:color="000000" w:sz="6" w:space="0"/>
              <w:left w:val="single" w:color="000000" w:sz="6" w:space="0"/>
              <w:bottom w:val="single" w:color="000000" w:sz="6" w:space="0"/>
              <w:right w:val="single" w:color="000000" w:sz="6" w:space="0"/>
            </w:tcBorders>
            <w:noWrap w:val="0"/>
            <w:tcMar>
              <w:top w:w="14" w:type="dxa"/>
              <w:left w:w="14" w:type="dxa"/>
              <w:right w:w="14" w:type="dxa"/>
            </w:tcMar>
            <w:vAlign w:val="center"/>
          </w:tcPr>
          <w:p>
            <w:pPr>
              <w:pStyle w:val="4"/>
              <w:widowControl/>
              <w:snapToGrid w:val="0"/>
              <w:spacing w:before="0" w:beforeAutospacing="0" w:after="0" w:afterAutospacing="0"/>
              <w:jc w:val="center"/>
              <w:rPr>
                <w:sz w:val="31"/>
                <w:szCs w:val="31"/>
              </w:rPr>
            </w:pPr>
            <w:r>
              <w:rPr>
                <w:rFonts w:hint="eastAsia" w:ascii="方正仿宋_GBK" w:hAnsi="方正仿宋_GBK" w:eastAsia="方正仿宋_GBK" w:cs="方正仿宋_GBK"/>
                <w:color w:val="000000"/>
                <w:sz w:val="20"/>
                <w:szCs w:val="20"/>
              </w:rPr>
              <w:t>第十条</w:t>
            </w:r>
          </w:p>
        </w:tc>
        <w:tc>
          <w:tcPr>
            <w:tcW w:w="553" w:type="dxa"/>
            <w:vMerge w:val="restart"/>
            <w:tcBorders>
              <w:top w:val="single" w:color="000000" w:sz="6" w:space="0"/>
              <w:left w:val="single" w:color="000000" w:sz="6" w:space="0"/>
              <w:bottom w:val="single" w:color="000000" w:sz="6" w:space="0"/>
              <w:right w:val="single" w:color="000000" w:sz="6" w:space="0"/>
            </w:tcBorders>
            <w:noWrap w:val="0"/>
            <w:tcMar>
              <w:top w:w="14" w:type="dxa"/>
              <w:left w:w="14" w:type="dxa"/>
              <w:right w:w="14" w:type="dxa"/>
            </w:tcMar>
            <w:vAlign w:val="center"/>
          </w:tcPr>
          <w:p>
            <w:pPr>
              <w:pStyle w:val="4"/>
              <w:widowControl/>
              <w:snapToGrid w:val="0"/>
              <w:spacing w:before="0" w:beforeAutospacing="0" w:after="0" w:afterAutospacing="0"/>
              <w:rPr>
                <w:sz w:val="31"/>
                <w:szCs w:val="31"/>
              </w:rPr>
            </w:pPr>
          </w:p>
        </w:tc>
        <w:tc>
          <w:tcPr>
            <w:tcW w:w="2708" w:type="dxa"/>
            <w:tcBorders>
              <w:top w:val="single" w:color="000000" w:sz="6" w:space="0"/>
              <w:left w:val="single" w:color="000000" w:sz="6" w:space="0"/>
              <w:bottom w:val="single" w:color="000000" w:sz="6" w:space="0"/>
              <w:right w:val="single" w:color="000000" w:sz="6" w:space="0"/>
            </w:tcBorders>
            <w:noWrap w:val="0"/>
            <w:tcMar>
              <w:top w:w="14" w:type="dxa"/>
              <w:left w:w="14" w:type="dxa"/>
              <w:right w:w="14" w:type="dxa"/>
            </w:tcMar>
            <w:vAlign w:val="center"/>
          </w:tcPr>
          <w:p>
            <w:pPr>
              <w:pStyle w:val="4"/>
              <w:widowControl/>
              <w:snapToGrid w:val="0"/>
              <w:spacing w:before="0" w:beforeAutospacing="0" w:after="0" w:afterAutospacing="0"/>
              <w:rPr>
                <w:sz w:val="31"/>
                <w:szCs w:val="31"/>
              </w:rPr>
            </w:pPr>
            <w:r>
              <w:rPr>
                <w:rFonts w:hint="eastAsia" w:ascii="方正仿宋_GBK" w:hAnsi="方正仿宋_GBK" w:eastAsia="方正仿宋_GBK" w:cs="方正仿宋_GBK"/>
                <w:color w:val="000000"/>
                <w:sz w:val="20"/>
                <w:szCs w:val="20"/>
              </w:rPr>
              <w:t>未依法取得其他许可从事经营活动</w:t>
            </w:r>
          </w:p>
        </w:tc>
        <w:tc>
          <w:tcPr>
            <w:tcW w:w="6559" w:type="dxa"/>
            <w:tcBorders>
              <w:top w:val="single" w:color="000000" w:sz="6" w:space="0"/>
              <w:left w:val="single" w:color="000000" w:sz="6" w:space="0"/>
              <w:bottom w:val="single" w:color="000000" w:sz="6" w:space="0"/>
              <w:right w:val="single" w:color="000000" w:sz="6" w:space="0"/>
            </w:tcBorders>
            <w:noWrap w:val="0"/>
            <w:tcMar>
              <w:top w:w="14" w:type="dxa"/>
              <w:left w:w="14" w:type="dxa"/>
              <w:right w:w="14" w:type="dxa"/>
            </w:tcMar>
            <w:vAlign w:val="center"/>
          </w:tcPr>
          <w:p>
            <w:pPr>
              <w:pStyle w:val="4"/>
              <w:widowControl/>
              <w:snapToGrid w:val="0"/>
              <w:spacing w:before="0" w:beforeAutospacing="0" w:after="0" w:afterAutospacing="0"/>
              <w:rPr>
                <w:rFonts w:hint="eastAsia" w:ascii="方正仿宋_GBK" w:hAnsi="方正仿宋_GBK" w:eastAsia="方正仿宋_GBK" w:cs="方正仿宋_GBK"/>
                <w:color w:val="333333"/>
                <w:sz w:val="20"/>
                <w:szCs w:val="20"/>
                <w:lang w:eastAsia="zh-CN"/>
              </w:rPr>
            </w:pPr>
            <w:r>
              <w:rPr>
                <w:rFonts w:hint="eastAsia" w:ascii="方正仿宋_GBK" w:hAnsi="方正仿宋_GBK" w:eastAsia="方正仿宋_GBK" w:cs="方正仿宋_GBK"/>
                <w:b/>
                <w:bCs/>
                <w:color w:val="000000"/>
                <w:sz w:val="20"/>
                <w:szCs w:val="20"/>
              </w:rPr>
              <w:t>《无证无照经营查处办法》第十二条</w:t>
            </w:r>
            <w:r>
              <w:rPr>
                <w:rFonts w:hint="eastAsia" w:ascii="方正仿宋_GBK" w:hAnsi="方正仿宋_GBK" w:eastAsia="方正仿宋_GBK" w:cs="方正仿宋_GBK"/>
                <w:color w:val="333333"/>
                <w:sz w:val="20"/>
                <w:szCs w:val="20"/>
              </w:rPr>
              <w:t>:从事无证经营的，由查处部门依照相关法律、法规的规定予以处罚。</w:t>
            </w:r>
          </w:p>
          <w:p>
            <w:pPr>
              <w:pStyle w:val="4"/>
              <w:widowControl/>
              <w:snapToGrid w:val="0"/>
              <w:spacing w:before="0" w:beforeAutospacing="0" w:after="0" w:afterAutospacing="0"/>
              <w:rPr>
                <w:rFonts w:hint="eastAsia" w:ascii="方正仿宋_GBK" w:hAnsi="方正仿宋_GBK" w:eastAsia="方正仿宋_GBK" w:cs="方正仿宋_GBK"/>
                <w:color w:val="333333"/>
                <w:sz w:val="20"/>
                <w:szCs w:val="20"/>
                <w:lang w:eastAsia="zh-CN"/>
              </w:rPr>
            </w:pPr>
          </w:p>
          <w:p>
            <w:pPr>
              <w:pStyle w:val="4"/>
              <w:widowControl/>
              <w:snapToGrid w:val="0"/>
              <w:spacing w:before="0" w:beforeAutospacing="0" w:after="0" w:afterAutospacing="0"/>
              <w:rPr>
                <w:sz w:val="31"/>
                <w:szCs w:val="31"/>
              </w:rPr>
            </w:pPr>
            <w:r>
              <w:rPr>
                <w:rFonts w:hint="eastAsia" w:ascii="方正仿宋_GBK" w:hAnsi="方正仿宋_GBK" w:eastAsia="方正仿宋_GBK" w:cs="方正仿宋_GBK"/>
                <w:b/>
                <w:bCs/>
                <w:color w:val="333333"/>
                <w:sz w:val="20"/>
                <w:szCs w:val="20"/>
              </w:rPr>
              <w:t>《无证无照经营查处办法》第十三条:</w:t>
            </w:r>
            <w:r>
              <w:rPr>
                <w:rFonts w:hint="eastAsia" w:ascii="方正仿宋_GBK" w:hAnsi="方正仿宋_GBK" w:eastAsia="方正仿宋_GBK" w:cs="方正仿宋_GBK"/>
                <w:color w:val="333333"/>
                <w:sz w:val="20"/>
                <w:szCs w:val="20"/>
              </w:rPr>
              <w:t>从事无照经营的，由工商行政管理部门依照相关法律、行政法规的规定予以处罚。法律、行政法规对无照经营的处罚没有明确规定的，由工商行政管理部门责令停止违法行为，没收违法所得，并处1万元以下的罚款。</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380" w:type="dxa"/>
            <w:vMerge w:val="continue"/>
            <w:tcBorders>
              <w:top w:val="single" w:color="000000" w:sz="6" w:space="0"/>
              <w:left w:val="single" w:color="000000" w:sz="6" w:space="0"/>
              <w:bottom w:val="single" w:color="000000" w:sz="6" w:space="0"/>
              <w:right w:val="single" w:color="000000" w:sz="6" w:space="0"/>
            </w:tcBorders>
            <w:noWrap w:val="0"/>
            <w:tcMar>
              <w:top w:w="14" w:type="dxa"/>
              <w:left w:w="14" w:type="dxa"/>
              <w:right w:w="14" w:type="dxa"/>
            </w:tcMar>
            <w:vAlign w:val="center"/>
          </w:tcPr>
          <w:p>
            <w:pPr>
              <w:snapToGrid w:val="0"/>
              <w:rPr>
                <w:rFonts w:hint="eastAsia" w:ascii="宋体"/>
                <w:color w:val="333333"/>
                <w:sz w:val="24"/>
              </w:rPr>
            </w:pPr>
          </w:p>
        </w:tc>
        <w:tc>
          <w:tcPr>
            <w:tcW w:w="553" w:type="dxa"/>
            <w:vMerge w:val="continue"/>
            <w:tcBorders>
              <w:top w:val="single" w:color="000000" w:sz="6" w:space="0"/>
              <w:left w:val="single" w:color="000000" w:sz="6" w:space="0"/>
              <w:bottom w:val="single" w:color="000000" w:sz="6" w:space="0"/>
              <w:right w:val="single" w:color="000000" w:sz="6" w:space="0"/>
            </w:tcBorders>
            <w:noWrap w:val="0"/>
            <w:tcMar>
              <w:top w:w="14" w:type="dxa"/>
              <w:left w:w="14" w:type="dxa"/>
              <w:right w:w="14" w:type="dxa"/>
            </w:tcMar>
            <w:vAlign w:val="center"/>
          </w:tcPr>
          <w:p>
            <w:pPr>
              <w:snapToGrid w:val="0"/>
              <w:rPr>
                <w:rFonts w:hint="eastAsia" w:ascii="宋体"/>
                <w:color w:val="333333"/>
                <w:sz w:val="24"/>
              </w:rPr>
            </w:pPr>
          </w:p>
        </w:tc>
        <w:tc>
          <w:tcPr>
            <w:tcW w:w="2708" w:type="dxa"/>
            <w:tcBorders>
              <w:top w:val="single" w:color="000000" w:sz="6" w:space="0"/>
              <w:left w:val="single" w:color="000000" w:sz="6" w:space="0"/>
              <w:bottom w:val="single" w:color="000000" w:sz="6" w:space="0"/>
              <w:right w:val="single" w:color="000000" w:sz="6" w:space="0"/>
            </w:tcBorders>
            <w:noWrap w:val="0"/>
            <w:tcMar>
              <w:top w:w="14" w:type="dxa"/>
              <w:left w:w="14" w:type="dxa"/>
              <w:right w:w="14" w:type="dxa"/>
            </w:tcMar>
            <w:vAlign w:val="center"/>
          </w:tcPr>
          <w:p>
            <w:pPr>
              <w:pStyle w:val="4"/>
              <w:widowControl/>
              <w:snapToGrid w:val="0"/>
              <w:spacing w:before="0" w:beforeAutospacing="0" w:after="0" w:afterAutospacing="0"/>
              <w:rPr>
                <w:sz w:val="31"/>
                <w:szCs w:val="31"/>
              </w:rPr>
            </w:pPr>
            <w:r>
              <w:rPr>
                <w:rFonts w:hint="eastAsia" w:ascii="方正仿宋_GBK" w:hAnsi="方正仿宋_GBK" w:eastAsia="方正仿宋_GBK" w:cs="方正仿宋_GBK"/>
                <w:color w:val="000000"/>
                <w:sz w:val="20"/>
                <w:szCs w:val="20"/>
              </w:rPr>
              <w:t>提交虚假材料或者采取其他手段隐瞒重要事实，取得行政许可，取得、变更或者注销市场主体登记，或者涂改、倒卖、出租、出售许可证件、营业执照；</w:t>
            </w:r>
          </w:p>
        </w:tc>
        <w:tc>
          <w:tcPr>
            <w:tcW w:w="6559" w:type="dxa"/>
            <w:tcBorders>
              <w:top w:val="single" w:color="000000" w:sz="6" w:space="0"/>
              <w:left w:val="single" w:color="000000" w:sz="6" w:space="0"/>
              <w:bottom w:val="single" w:color="000000" w:sz="6" w:space="0"/>
              <w:right w:val="single" w:color="000000" w:sz="6" w:space="0"/>
            </w:tcBorders>
            <w:noWrap w:val="0"/>
            <w:tcMar>
              <w:top w:w="14" w:type="dxa"/>
              <w:left w:w="14" w:type="dxa"/>
              <w:right w:w="14" w:type="dxa"/>
            </w:tcMar>
            <w:vAlign w:val="center"/>
          </w:tcPr>
          <w:p>
            <w:pPr>
              <w:pStyle w:val="4"/>
              <w:widowControl/>
              <w:snapToGrid w:val="0"/>
              <w:spacing w:before="0" w:beforeAutospacing="0" w:after="0" w:afterAutospacing="0"/>
              <w:rPr>
                <w:rFonts w:hint="eastAsia" w:ascii="方正仿宋_GBK" w:hAnsi="方正仿宋_GBK" w:eastAsia="方正仿宋_GBK" w:cs="方正仿宋_GBK"/>
                <w:color w:val="000000"/>
                <w:sz w:val="20"/>
                <w:szCs w:val="20"/>
                <w:lang w:eastAsia="zh-CN"/>
              </w:rPr>
            </w:pPr>
            <w:r>
              <w:rPr>
                <w:rFonts w:hint="eastAsia" w:ascii="方正仿宋_GBK" w:hAnsi="方正仿宋_GBK" w:eastAsia="方正仿宋_GBK" w:cs="方正仿宋_GBK"/>
                <w:b/>
                <w:bCs/>
                <w:color w:val="000000"/>
                <w:sz w:val="20"/>
                <w:szCs w:val="20"/>
              </w:rPr>
              <w:t>《行政许可法》第七十八条</w:t>
            </w:r>
            <w:r>
              <w:rPr>
                <w:rFonts w:hint="eastAsia" w:ascii="方正仿宋_GBK" w:hAnsi="方正仿宋_GBK" w:eastAsia="方正仿宋_GBK" w:cs="方正仿宋_GBK"/>
                <w:color w:val="000000"/>
                <w:sz w:val="20"/>
                <w:szCs w:val="20"/>
              </w:rPr>
              <w:t xml:space="preserve"> 行政许可申请人隐瞒有关情况或者提供虚假材料申请行政许可的，行政机关不予受理或者不予行政许可，并给予警告；行政许可申请属于直接关系公共安全、人身健康、生命财产安全事项的，申请人在一年内不得再次申请该行政许可。</w:t>
            </w:r>
          </w:p>
          <w:p>
            <w:pPr>
              <w:pStyle w:val="4"/>
              <w:widowControl/>
              <w:snapToGrid w:val="0"/>
              <w:spacing w:before="0" w:beforeAutospacing="0" w:after="0" w:afterAutospacing="0"/>
              <w:rPr>
                <w:rFonts w:hint="eastAsia" w:ascii="方正仿宋_GBK" w:hAnsi="方正仿宋_GBK" w:eastAsia="方正仿宋_GBK" w:cs="方正仿宋_GBK"/>
                <w:color w:val="000000"/>
                <w:sz w:val="20"/>
                <w:szCs w:val="20"/>
                <w:lang w:eastAsia="zh-CN"/>
              </w:rPr>
            </w:pPr>
          </w:p>
          <w:p>
            <w:pPr>
              <w:pStyle w:val="4"/>
              <w:widowControl/>
              <w:snapToGrid w:val="0"/>
              <w:spacing w:before="0" w:beforeAutospacing="0" w:after="0" w:afterAutospacing="0"/>
              <w:rPr>
                <w:rFonts w:hint="eastAsia" w:ascii="方正仿宋_GBK" w:hAnsi="方正仿宋_GBK" w:eastAsia="方正仿宋_GBK" w:cs="方正仿宋_GBK"/>
                <w:color w:val="333333"/>
                <w:sz w:val="20"/>
                <w:szCs w:val="20"/>
                <w:lang w:eastAsia="zh-CN"/>
              </w:rPr>
            </w:pPr>
            <w:r>
              <w:rPr>
                <w:rFonts w:hint="eastAsia" w:ascii="方正仿宋_GBK" w:hAnsi="方正仿宋_GBK" w:eastAsia="方正仿宋_GBK" w:cs="方正仿宋_GBK"/>
                <w:b/>
                <w:bCs/>
                <w:color w:val="333333"/>
                <w:sz w:val="20"/>
                <w:szCs w:val="20"/>
              </w:rPr>
              <w:t>第七十九条</w:t>
            </w:r>
            <w:r>
              <w:rPr>
                <w:rFonts w:hint="eastAsia" w:ascii="方正仿宋_GBK" w:hAnsi="方正仿宋_GBK" w:eastAsia="方正仿宋_GBK" w:cs="方正仿宋_GBK"/>
                <w:color w:val="333333"/>
                <w:sz w:val="20"/>
                <w:szCs w:val="20"/>
              </w:rPr>
              <w:t xml:space="preserve"> 被许可人以欺骗、贿赂等不正当手段取得行政许可的，行政机关应当依法给予行政处罚；取得的行政许可属于直接关系公共安全、人身健康、生命财产安全事项的，申请人在三年内不得再次申请该行政许可；构成犯罪的，依法追究刑事责任。</w:t>
            </w:r>
          </w:p>
          <w:p>
            <w:pPr>
              <w:pStyle w:val="4"/>
              <w:widowControl/>
              <w:snapToGrid w:val="0"/>
              <w:spacing w:before="0" w:beforeAutospacing="0" w:after="0" w:afterAutospacing="0"/>
              <w:rPr>
                <w:rFonts w:hint="eastAsia" w:ascii="方正仿宋_GBK" w:hAnsi="方正仿宋_GBK" w:eastAsia="方正仿宋_GBK" w:cs="方正仿宋_GBK"/>
                <w:color w:val="333333"/>
                <w:sz w:val="20"/>
                <w:szCs w:val="20"/>
                <w:lang w:eastAsia="zh-CN"/>
              </w:rPr>
            </w:pPr>
          </w:p>
          <w:p>
            <w:pPr>
              <w:pStyle w:val="4"/>
              <w:widowControl/>
              <w:snapToGrid w:val="0"/>
              <w:spacing w:before="0" w:beforeAutospacing="0" w:after="0" w:afterAutospacing="0"/>
              <w:rPr>
                <w:rFonts w:hint="eastAsia" w:ascii="方正仿宋_GBK" w:hAnsi="方正仿宋_GBK" w:eastAsia="方正仿宋_GBK" w:cs="方正仿宋_GBK"/>
                <w:color w:val="333333"/>
                <w:sz w:val="20"/>
                <w:szCs w:val="20"/>
                <w:lang w:eastAsia="zh-CN"/>
              </w:rPr>
            </w:pPr>
            <w:r>
              <w:rPr>
                <w:rFonts w:hint="eastAsia" w:ascii="方正仿宋_GBK" w:hAnsi="方正仿宋_GBK" w:eastAsia="方正仿宋_GBK" w:cs="方正仿宋_GBK"/>
                <w:b/>
                <w:bCs/>
                <w:color w:val="333333"/>
                <w:sz w:val="20"/>
                <w:szCs w:val="20"/>
              </w:rPr>
              <w:t xml:space="preserve">第八十条 </w:t>
            </w:r>
            <w:r>
              <w:rPr>
                <w:rFonts w:hint="eastAsia" w:ascii="方正仿宋_GBK" w:hAnsi="方正仿宋_GBK" w:eastAsia="方正仿宋_GBK" w:cs="方正仿宋_GBK"/>
                <w:color w:val="333333"/>
                <w:sz w:val="20"/>
                <w:szCs w:val="20"/>
              </w:rPr>
              <w:t>被许可人有下列行为之一的，行政机关应当依法给予行政处罚；构成犯罪的，依法追究刑事责任：</w:t>
            </w:r>
          </w:p>
          <w:p>
            <w:pPr>
              <w:pStyle w:val="4"/>
              <w:widowControl/>
              <w:snapToGrid w:val="0"/>
              <w:spacing w:before="0" w:beforeAutospacing="0" w:after="0" w:afterAutospacing="0"/>
              <w:rPr>
                <w:rFonts w:hint="eastAsia" w:ascii="方正仿宋_GBK" w:hAnsi="方正仿宋_GBK" w:eastAsia="方正仿宋_GBK" w:cs="方正仿宋_GBK"/>
                <w:color w:val="333333"/>
                <w:sz w:val="20"/>
                <w:szCs w:val="20"/>
                <w:lang w:eastAsia="zh-CN"/>
              </w:rPr>
            </w:pPr>
            <w:r>
              <w:rPr>
                <w:rFonts w:hint="eastAsia" w:ascii="方正仿宋_GBK" w:hAnsi="方正仿宋_GBK" w:eastAsia="方正仿宋_GBK" w:cs="方正仿宋_GBK"/>
                <w:color w:val="333333"/>
                <w:sz w:val="20"/>
                <w:szCs w:val="20"/>
              </w:rPr>
              <w:t>（一）涂改、倒卖、出租、出借行政许可证件，或者以其他形式非法转让行政许可的；</w:t>
            </w:r>
          </w:p>
          <w:p>
            <w:pPr>
              <w:pStyle w:val="4"/>
              <w:widowControl/>
              <w:snapToGrid w:val="0"/>
              <w:spacing w:before="0" w:beforeAutospacing="0" w:after="0" w:afterAutospacing="0"/>
              <w:rPr>
                <w:rFonts w:hint="eastAsia" w:ascii="方正仿宋_GBK" w:hAnsi="方正仿宋_GBK" w:eastAsia="方正仿宋_GBK" w:cs="方正仿宋_GBK"/>
                <w:color w:val="333333"/>
                <w:sz w:val="20"/>
                <w:szCs w:val="20"/>
                <w:lang w:eastAsia="zh-CN"/>
              </w:rPr>
            </w:pPr>
            <w:r>
              <w:rPr>
                <w:rFonts w:hint="eastAsia" w:ascii="方正仿宋_GBK" w:hAnsi="方正仿宋_GBK" w:eastAsia="方正仿宋_GBK" w:cs="方正仿宋_GBK"/>
                <w:color w:val="333333"/>
                <w:sz w:val="20"/>
                <w:szCs w:val="20"/>
              </w:rPr>
              <w:t>（二）超越行政许可范围进行活动的；</w:t>
            </w:r>
          </w:p>
          <w:p>
            <w:pPr>
              <w:pStyle w:val="4"/>
              <w:widowControl/>
              <w:snapToGrid w:val="0"/>
              <w:spacing w:before="0" w:beforeAutospacing="0" w:after="0" w:afterAutospacing="0"/>
              <w:rPr>
                <w:rFonts w:hint="eastAsia" w:ascii="方正仿宋_GBK" w:hAnsi="方正仿宋_GBK" w:eastAsia="方正仿宋_GBK" w:cs="方正仿宋_GBK"/>
                <w:color w:val="333333"/>
                <w:sz w:val="20"/>
                <w:szCs w:val="20"/>
                <w:lang w:eastAsia="zh-CN"/>
              </w:rPr>
            </w:pPr>
            <w:r>
              <w:rPr>
                <w:rFonts w:hint="eastAsia" w:ascii="方正仿宋_GBK" w:hAnsi="方正仿宋_GBK" w:eastAsia="方正仿宋_GBK" w:cs="方正仿宋_GBK"/>
                <w:color w:val="333333"/>
                <w:sz w:val="20"/>
                <w:szCs w:val="20"/>
              </w:rPr>
              <w:t>（三）向负责监督检查的行政机关隐瞒有关情况、提供虚假材料或者拒绝提供反映其活动情况的真实材料的；</w:t>
            </w:r>
          </w:p>
          <w:p>
            <w:pPr>
              <w:pStyle w:val="4"/>
              <w:widowControl/>
              <w:snapToGrid w:val="0"/>
              <w:spacing w:before="0" w:beforeAutospacing="0" w:after="0" w:afterAutospacing="0"/>
              <w:rPr>
                <w:sz w:val="31"/>
                <w:szCs w:val="31"/>
              </w:rPr>
            </w:pPr>
            <w:r>
              <w:rPr>
                <w:rFonts w:hint="eastAsia" w:ascii="方正仿宋_GBK" w:hAnsi="方正仿宋_GBK" w:eastAsia="方正仿宋_GBK" w:cs="方正仿宋_GBK"/>
                <w:color w:val="333333"/>
                <w:sz w:val="20"/>
                <w:szCs w:val="20"/>
              </w:rPr>
              <w:t>（四）法律、法规、规章规定的其他违法行为。《公司法》第一百九十八条：违反本法规定，虚报注册资本、提交虚假材料或者采取其他欺诈手段隐瞒重要事实取得公司登记的，由公司登记机关责令改正，对虚报注册资本的公司，处以虚报注册资本金额百分之五以上百分之十五以下的罚款；对提交虚假材料或者采取其他欺诈手段隐瞒重要事实的公司，处以五万元以上五十万元以下的罚款；情节严重的，撤销公司登记或者吊销营业执照。</w:t>
            </w:r>
          </w:p>
          <w:p>
            <w:pPr>
              <w:pStyle w:val="4"/>
              <w:widowControl/>
              <w:snapToGrid w:val="0"/>
              <w:spacing w:before="0" w:beforeAutospacing="0" w:after="0" w:afterAutospacing="0"/>
              <w:rPr>
                <w:sz w:val="31"/>
                <w:szCs w:val="31"/>
              </w:rPr>
            </w:pPr>
            <w:r>
              <w:rPr>
                <w:rFonts w:hint="eastAsia" w:ascii="方正仿宋_GBK" w:hAnsi="方正仿宋_GBK" w:eastAsia="方正仿宋_GBK" w:cs="方正仿宋_GBK"/>
                <w:b/>
                <w:bCs/>
                <w:color w:val="000000"/>
                <w:sz w:val="20"/>
                <w:szCs w:val="20"/>
              </w:rPr>
              <w:t>《公司登记管理条例》第六十四条</w:t>
            </w:r>
            <w:r>
              <w:rPr>
                <w:rFonts w:hint="eastAsia" w:ascii="方正仿宋_GBK" w:hAnsi="方正仿宋_GBK" w:eastAsia="方正仿宋_GBK" w:cs="方正仿宋_GBK"/>
                <w:color w:val="000000"/>
                <w:sz w:val="20"/>
                <w:szCs w:val="20"/>
              </w:rPr>
              <w:t>：提交虚假材料或者采取其他欺诈手段隐瞒重要事实，取得公司登记的，由公司登记机关责令改正，处以</w:t>
            </w:r>
            <w:r>
              <w:rPr>
                <w:rFonts w:hint="eastAsia" w:ascii="方正仿宋_GBK" w:hAnsi="方正仿宋_GBK" w:eastAsia="方正仿宋_GBK" w:cs="方正仿宋_GBK"/>
                <w:color w:val="333333"/>
                <w:sz w:val="20"/>
                <w:szCs w:val="20"/>
              </w:rPr>
              <w:t>5 万以上50 万元以下的罚款；情节严重的，撤销公司登记或者吊销营业执照。</w:t>
            </w:r>
          </w:p>
          <w:p>
            <w:pPr>
              <w:pStyle w:val="4"/>
              <w:widowControl/>
              <w:snapToGrid w:val="0"/>
              <w:spacing w:before="0" w:beforeAutospacing="0" w:after="0" w:afterAutospacing="0"/>
              <w:rPr>
                <w:rFonts w:hint="eastAsia" w:ascii="方正仿宋_GBK" w:hAnsi="方正仿宋_GBK" w:eastAsia="方正仿宋_GBK" w:cs="方正仿宋_GBK"/>
                <w:color w:val="333333"/>
                <w:sz w:val="20"/>
                <w:szCs w:val="20"/>
                <w:lang w:eastAsia="zh-CN"/>
              </w:rPr>
            </w:pPr>
            <w:r>
              <w:rPr>
                <w:rFonts w:hint="eastAsia" w:ascii="方正仿宋_GBK" w:hAnsi="方正仿宋_GBK" w:eastAsia="方正仿宋_GBK" w:cs="方正仿宋_GBK"/>
                <w:color w:val="000000"/>
                <w:sz w:val="20"/>
                <w:szCs w:val="20"/>
              </w:rPr>
              <w:t>《外国企业常驻代表机构登记管理条例》第三十六条：提交虚假材料或者采取其他欺诈手段隐瞒真实情况，取得代表机构登记或者备案的，由登记机关责令改正，对代表机构处以</w:t>
            </w:r>
            <w:r>
              <w:rPr>
                <w:rFonts w:hint="eastAsia" w:ascii="方正仿宋_GBK" w:hAnsi="方正仿宋_GBK" w:eastAsia="方正仿宋_GBK" w:cs="方正仿宋_GBK"/>
                <w:color w:val="333333"/>
                <w:sz w:val="20"/>
                <w:szCs w:val="20"/>
              </w:rPr>
              <w:t>2万元以上20万元以下的罚款，对直接负责的主管人员和其他直接责任人员处以1000元以上1万元以下的罚款；情节严重的，由登记机关撤销登记或者吊销登记证，缴销代表证。</w:t>
            </w:r>
          </w:p>
          <w:p>
            <w:pPr>
              <w:pStyle w:val="4"/>
              <w:widowControl/>
              <w:snapToGrid w:val="0"/>
              <w:spacing w:before="0" w:beforeAutospacing="0" w:after="0" w:afterAutospacing="0"/>
              <w:rPr>
                <w:sz w:val="31"/>
                <w:szCs w:val="31"/>
              </w:rPr>
            </w:pPr>
            <w:r>
              <w:rPr>
                <w:rFonts w:hint="eastAsia" w:ascii="方正仿宋_GBK" w:hAnsi="方正仿宋_GBK" w:eastAsia="方正仿宋_GBK" w:cs="方正仿宋_GBK"/>
                <w:color w:val="333333"/>
                <w:sz w:val="20"/>
                <w:szCs w:val="20"/>
              </w:rPr>
              <w:t>伪造、涂改、出租、出借、转让登记证、代表证的，由登记机关对代表机构处以1万元以上10万元以下的罚款；对直接负责的主管人员和其他直接责任人员处以1000元以上1万元以下的罚款；情节严重的，吊销登记证，缴销代表证。</w:t>
            </w:r>
          </w:p>
          <w:p>
            <w:pPr>
              <w:pStyle w:val="4"/>
              <w:widowControl/>
              <w:snapToGrid w:val="0"/>
              <w:spacing w:before="0" w:beforeAutospacing="0" w:after="0" w:afterAutospacing="0"/>
              <w:rPr>
                <w:sz w:val="31"/>
                <w:szCs w:val="31"/>
              </w:rPr>
            </w:pPr>
            <w:r>
              <w:rPr>
                <w:rFonts w:hint="eastAsia" w:ascii="方正仿宋_GBK" w:hAnsi="方正仿宋_GBK" w:eastAsia="方正仿宋_GBK" w:cs="方正仿宋_GBK"/>
                <w:b/>
                <w:bCs/>
                <w:color w:val="000000"/>
                <w:sz w:val="20"/>
                <w:szCs w:val="20"/>
              </w:rPr>
              <w:t>《公司登记管理条例》第三十八条</w:t>
            </w:r>
            <w:r>
              <w:rPr>
                <w:rFonts w:hint="eastAsia" w:ascii="方正仿宋_GBK" w:hAnsi="方正仿宋_GBK" w:eastAsia="方正仿宋_GBK" w:cs="方正仿宋_GBK"/>
                <w:b/>
                <w:bCs/>
                <w:color w:val="333333"/>
                <w:sz w:val="20"/>
                <w:szCs w:val="20"/>
              </w:rPr>
              <w:t>:</w:t>
            </w:r>
            <w:r>
              <w:rPr>
                <w:rFonts w:hint="eastAsia" w:ascii="方正仿宋_GBK" w:hAnsi="方正仿宋_GBK" w:eastAsia="方正仿宋_GBK" w:cs="方正仿宋_GBK"/>
                <w:color w:val="333333"/>
                <w:sz w:val="20"/>
                <w:szCs w:val="20"/>
              </w:rPr>
              <w:t> 提交虚假文件或者采取其他欺骗手段，取得合伙企业登记的，由企业登记机关责令改正，处５０００元以上５万元以下的罚款；情节严重的，撤销企业登记，并处５万元以上２０万元以下的罚款。</w:t>
            </w:r>
          </w:p>
          <w:p>
            <w:pPr>
              <w:pStyle w:val="4"/>
              <w:widowControl/>
              <w:snapToGrid w:val="0"/>
              <w:spacing w:before="0" w:beforeAutospacing="0" w:after="0" w:afterAutospacing="0"/>
              <w:rPr>
                <w:sz w:val="31"/>
                <w:szCs w:val="31"/>
              </w:rPr>
            </w:pPr>
            <w:r>
              <w:rPr>
                <w:rFonts w:hint="eastAsia" w:ascii="方正仿宋_GBK" w:hAnsi="方正仿宋_GBK" w:eastAsia="方正仿宋_GBK" w:cs="方正仿宋_GBK"/>
                <w:b/>
                <w:bCs/>
                <w:color w:val="000000"/>
                <w:sz w:val="20"/>
                <w:szCs w:val="20"/>
              </w:rPr>
              <w:t>第四十四条：</w:t>
            </w:r>
            <w:r>
              <w:rPr>
                <w:rFonts w:hint="eastAsia" w:ascii="方正仿宋_GBK" w:hAnsi="方正仿宋_GBK" w:eastAsia="方正仿宋_GBK" w:cs="方正仿宋_GBK"/>
                <w:color w:val="000000"/>
                <w:sz w:val="20"/>
                <w:szCs w:val="20"/>
              </w:rPr>
              <w:t> 合伙企业涂改、出售、出租、出借或者以其他方式转让营业执照的，由企业登记机关责令改正，处２０００元以上１万元以下的罚款；情节严重的，吊销营业执照。</w:t>
            </w:r>
          </w:p>
          <w:p>
            <w:pPr>
              <w:pStyle w:val="4"/>
              <w:widowControl/>
              <w:snapToGrid w:val="0"/>
              <w:spacing w:before="0" w:beforeAutospacing="0" w:after="0" w:afterAutospacing="0"/>
              <w:rPr>
                <w:sz w:val="31"/>
                <w:szCs w:val="31"/>
              </w:rPr>
            </w:pPr>
            <w:r>
              <w:rPr>
                <w:rFonts w:hint="eastAsia" w:ascii="方正仿宋_GBK" w:hAnsi="方正仿宋_GBK" w:eastAsia="方正仿宋_GBK" w:cs="方正仿宋_GBK"/>
                <w:b/>
                <w:bCs/>
                <w:color w:val="000000"/>
                <w:sz w:val="20"/>
                <w:szCs w:val="20"/>
              </w:rPr>
              <w:t>第七十一条：</w:t>
            </w:r>
            <w:r>
              <w:rPr>
                <w:rFonts w:hint="eastAsia" w:ascii="方正仿宋_GBK" w:hAnsi="方正仿宋_GBK" w:eastAsia="方正仿宋_GBK" w:cs="方正仿宋_GBK"/>
                <w:color w:val="000000"/>
                <w:sz w:val="20"/>
                <w:szCs w:val="20"/>
              </w:rPr>
              <w:t>伪造、涂改、出租、出借、转让营业执照的，由公司登记机关处以１万元以上１０万元以下的罚款；情节严重的，吊销营业执照。</w:t>
            </w:r>
          </w:p>
          <w:p>
            <w:pPr>
              <w:pStyle w:val="4"/>
              <w:widowControl/>
              <w:snapToGrid w:val="0"/>
              <w:spacing w:before="0" w:beforeAutospacing="0" w:after="0" w:afterAutospacing="0"/>
              <w:rPr>
                <w:rFonts w:hint="eastAsia" w:ascii="方正仿宋_GBK" w:hAnsi="方正仿宋_GBK" w:eastAsia="方正仿宋_GBK" w:cs="方正仿宋_GBK"/>
                <w:color w:val="000000"/>
                <w:sz w:val="20"/>
                <w:szCs w:val="20"/>
                <w:lang w:eastAsia="zh-CN"/>
              </w:rPr>
            </w:pPr>
            <w:r>
              <w:rPr>
                <w:rFonts w:hint="eastAsia" w:ascii="方正仿宋_GBK" w:hAnsi="方正仿宋_GBK" w:eastAsia="方正仿宋_GBK" w:cs="方正仿宋_GBK"/>
                <w:color w:val="000000"/>
                <w:sz w:val="20"/>
                <w:szCs w:val="20"/>
              </w:rPr>
              <w:t>《个人独资企业法》第三十五条： 涂改、出租、转让营业执照的，责令改正，没收违法所得，处以三千元以下的罚款；情节严重的，吊销营业执照。</w:t>
            </w:r>
          </w:p>
          <w:p>
            <w:pPr>
              <w:pStyle w:val="4"/>
              <w:widowControl/>
              <w:snapToGrid w:val="0"/>
              <w:spacing w:before="0" w:beforeAutospacing="0" w:after="0" w:afterAutospacing="0"/>
              <w:rPr>
                <w:sz w:val="31"/>
                <w:szCs w:val="31"/>
              </w:rPr>
            </w:pPr>
            <w:r>
              <w:rPr>
                <w:rFonts w:hint="eastAsia" w:ascii="方正仿宋_GBK" w:hAnsi="方正仿宋_GBK" w:eastAsia="方正仿宋_GBK" w:cs="方正仿宋_GBK"/>
                <w:color w:val="000000"/>
                <w:sz w:val="20"/>
                <w:szCs w:val="20"/>
              </w:rPr>
              <w:t>伪造营业执照的，责令停业，没收违法所得，处以五千元以下的罚款。构成犯罪的，依法追究刑事责任。</w:t>
            </w:r>
          </w:p>
          <w:p>
            <w:pPr>
              <w:pStyle w:val="4"/>
              <w:widowControl/>
              <w:snapToGrid w:val="0"/>
              <w:spacing w:before="0" w:beforeAutospacing="0" w:after="0" w:afterAutospacing="0"/>
              <w:rPr>
                <w:sz w:val="31"/>
                <w:szCs w:val="31"/>
              </w:rPr>
            </w:pPr>
            <w:r>
              <w:rPr>
                <w:rFonts w:hint="eastAsia" w:ascii="方正仿宋_GBK" w:hAnsi="方正仿宋_GBK" w:eastAsia="方正仿宋_GBK" w:cs="方正仿宋_GBK"/>
                <w:b/>
                <w:bCs/>
                <w:color w:val="000000"/>
                <w:sz w:val="20"/>
                <w:szCs w:val="20"/>
              </w:rPr>
              <w:t>《企业法人登记管理条例》第二十九条</w:t>
            </w:r>
            <w:r>
              <w:rPr>
                <w:rFonts w:hint="eastAsia" w:ascii="方正仿宋_GBK" w:hAnsi="方正仿宋_GBK" w:eastAsia="方正仿宋_GBK" w:cs="方正仿宋_GBK"/>
                <w:color w:val="000000"/>
                <w:sz w:val="20"/>
                <w:szCs w:val="20"/>
              </w:rPr>
              <w:t>：企业法人有下列情形之一的，登记主管机关可以根据情况分别给予警告、罚款、没收非法所得、停业整顿、扣缴、吊销《企业法人营业执照》的处罚：（一）登记中隐瞒真实情况、弄虚作假或者未经核准登记注册擅自开业的；（四）伪造、涂改、出租、出借、转让或者出卖《企业法人营业执照》、《企业法人营业执照》副本的；  对企业法人按照上述规定进行处罚时，应当根据违法行为的情节，追究法定代表人的行政责任、经济责任；触犯刑律的，由司法机关依法追究刑事责任。</w:t>
            </w:r>
          </w:p>
          <w:p>
            <w:pPr>
              <w:pStyle w:val="4"/>
              <w:widowControl/>
              <w:snapToGrid w:val="0"/>
              <w:spacing w:before="0" w:beforeAutospacing="0" w:after="0" w:afterAutospacing="0"/>
              <w:rPr>
                <w:sz w:val="31"/>
                <w:szCs w:val="31"/>
              </w:rPr>
            </w:pPr>
            <w:r>
              <w:rPr>
                <w:rFonts w:hint="eastAsia" w:ascii="方正仿宋_GBK" w:hAnsi="方正仿宋_GBK" w:eastAsia="方正仿宋_GBK" w:cs="方正仿宋_GBK"/>
                <w:b/>
                <w:bCs/>
                <w:color w:val="000000"/>
                <w:sz w:val="20"/>
                <w:szCs w:val="20"/>
              </w:rPr>
              <w:t>《个体工商户条例》第二十二条</w:t>
            </w:r>
            <w:r>
              <w:rPr>
                <w:rFonts w:hint="eastAsia" w:ascii="方正仿宋_GBK" w:hAnsi="方正仿宋_GBK" w:eastAsia="方正仿宋_GBK" w:cs="方正仿宋_GBK"/>
                <w:color w:val="000000"/>
                <w:sz w:val="20"/>
                <w:szCs w:val="20"/>
              </w:rPr>
              <w:t>：个体工商户提交虚假材料骗取注册登记，或者伪造、涂改、出租、出借、转让营业执照的，由登记机关责令改正，处</w:t>
            </w:r>
            <w:r>
              <w:rPr>
                <w:rFonts w:hint="eastAsia" w:ascii="方正仿宋_GBK" w:hAnsi="方正仿宋_GBK" w:eastAsia="方正仿宋_GBK" w:cs="方正仿宋_GBK"/>
                <w:color w:val="333333"/>
                <w:sz w:val="20"/>
                <w:szCs w:val="20"/>
              </w:rPr>
              <w:t>4000元以下的罚款；情节严重的，撤销注册登记或者吊销营业执照。</w:t>
            </w:r>
          </w:p>
          <w:p>
            <w:pPr>
              <w:pStyle w:val="4"/>
              <w:widowControl/>
              <w:snapToGrid w:val="0"/>
              <w:spacing w:before="0" w:beforeAutospacing="0" w:after="0" w:afterAutospacing="0"/>
              <w:rPr>
                <w:rFonts w:hint="eastAsia" w:ascii="方正仿宋_GBK" w:hAnsi="方正仿宋_GBK" w:eastAsia="方正仿宋_GBK" w:cs="方正仿宋_GBK"/>
                <w:color w:val="333333"/>
                <w:sz w:val="20"/>
                <w:szCs w:val="20"/>
              </w:rPr>
            </w:pPr>
            <w:r>
              <w:rPr>
                <w:rFonts w:hint="eastAsia" w:ascii="方正仿宋_GBK" w:hAnsi="方正仿宋_GBK" w:eastAsia="方正仿宋_GBK" w:cs="方正仿宋_GBK"/>
                <w:color w:val="000000"/>
                <w:sz w:val="20"/>
                <w:szCs w:val="20"/>
              </w:rPr>
              <w:t>第四十八条：市场主体伪造、涂改、出租、出借、转让营业执照的，由登记机关没收违法所得，处</w:t>
            </w:r>
            <w:r>
              <w:rPr>
                <w:rFonts w:ascii="Times New Roman" w:hAnsi="Times New Roman"/>
                <w:color w:val="333333"/>
                <w:sz w:val="20"/>
                <w:szCs w:val="20"/>
              </w:rPr>
              <w:t>10</w:t>
            </w:r>
            <w:r>
              <w:rPr>
                <w:rFonts w:hint="eastAsia" w:ascii="方正仿宋_GBK" w:hAnsi="方正仿宋_GBK" w:eastAsia="方正仿宋_GBK" w:cs="方正仿宋_GBK"/>
                <w:color w:val="333333"/>
                <w:sz w:val="20"/>
                <w:szCs w:val="20"/>
              </w:rPr>
              <w:t>万元以下的罚款；情节严重的，处</w:t>
            </w:r>
            <w:r>
              <w:rPr>
                <w:rFonts w:ascii="Times New Roman" w:hAnsi="Times New Roman"/>
                <w:color w:val="333333"/>
                <w:sz w:val="20"/>
                <w:szCs w:val="20"/>
              </w:rPr>
              <w:t>10</w:t>
            </w:r>
            <w:r>
              <w:rPr>
                <w:rFonts w:hint="eastAsia" w:ascii="方正仿宋_GBK" w:hAnsi="方正仿宋_GBK" w:eastAsia="方正仿宋_GBK" w:cs="方正仿宋_GBK"/>
                <w:color w:val="333333"/>
                <w:sz w:val="20"/>
                <w:szCs w:val="20"/>
              </w:rPr>
              <w:t>万元以上</w:t>
            </w:r>
            <w:r>
              <w:rPr>
                <w:rFonts w:ascii="Times New Roman" w:hAnsi="Times New Roman"/>
                <w:color w:val="333333"/>
                <w:sz w:val="20"/>
                <w:szCs w:val="20"/>
              </w:rPr>
              <w:t>50</w:t>
            </w:r>
            <w:r>
              <w:rPr>
                <w:rFonts w:hint="eastAsia" w:ascii="方正仿宋_GBK" w:hAnsi="方正仿宋_GBK" w:eastAsia="方正仿宋_GBK" w:cs="方正仿宋_GBK"/>
                <w:color w:val="333333"/>
                <w:sz w:val="20"/>
                <w:szCs w:val="20"/>
              </w:rPr>
              <w:t>万元以下的罚款，吊销营业执照。</w:t>
            </w:r>
          </w:p>
          <w:p>
            <w:pPr>
              <w:pStyle w:val="4"/>
              <w:widowControl/>
              <w:snapToGrid w:val="0"/>
              <w:spacing w:before="0" w:beforeAutospacing="0" w:after="0" w:afterAutospacing="0"/>
              <w:rPr>
                <w:rFonts w:hint="eastAsia" w:ascii="方正仿宋_GBK" w:hAnsi="方正仿宋_GBK" w:eastAsia="方正仿宋_GBK" w:cs="方正仿宋_GBK"/>
                <w:color w:val="000000"/>
                <w:sz w:val="20"/>
                <w:szCs w:val="20"/>
                <w:lang w:eastAsia="zh-CN"/>
              </w:rPr>
            </w:pPr>
            <w:r>
              <w:rPr>
                <w:rFonts w:hint="eastAsia" w:ascii="方正仿宋_GBK" w:hAnsi="方正仿宋_GBK" w:eastAsia="方正仿宋_GBK" w:cs="方正仿宋_GBK"/>
                <w:b/>
                <w:bCs/>
                <w:color w:val="000000"/>
                <w:sz w:val="20"/>
                <w:szCs w:val="20"/>
              </w:rPr>
              <w:t>第五十条：</w:t>
            </w:r>
            <w:r>
              <w:rPr>
                <w:rFonts w:hint="eastAsia" w:ascii="方正仿宋_GBK" w:hAnsi="方正仿宋_GBK" w:eastAsia="方正仿宋_GBK" w:cs="方正仿宋_GBK"/>
                <w:color w:val="000000"/>
                <w:sz w:val="20"/>
                <w:szCs w:val="20"/>
              </w:rPr>
              <w:t>许可申请人隐瞒真实情况或者提供虚假材料申请食品生产许可的，由县级以上地方市场监督管理部门给予警告。申请人在１年内不得再次申请食品生产许可。</w:t>
            </w:r>
          </w:p>
          <w:p>
            <w:pPr>
              <w:pStyle w:val="4"/>
              <w:widowControl/>
              <w:snapToGrid w:val="0"/>
              <w:spacing w:before="0" w:beforeAutospacing="0" w:after="0" w:afterAutospacing="0"/>
              <w:rPr>
                <w:rFonts w:hint="eastAsia" w:ascii="方正仿宋_GBK" w:hAnsi="方正仿宋_GBK" w:eastAsia="方正仿宋_GBK" w:cs="方正仿宋_GBK"/>
                <w:color w:val="333333"/>
                <w:sz w:val="20"/>
                <w:szCs w:val="20"/>
                <w:lang w:eastAsia="zh-CN"/>
              </w:rPr>
            </w:pPr>
            <w:r>
              <w:rPr>
                <w:rFonts w:hint="eastAsia" w:ascii="方正仿宋_GBK" w:hAnsi="方正仿宋_GBK" w:eastAsia="方正仿宋_GBK" w:cs="方正仿宋_GBK"/>
                <w:b/>
                <w:bCs/>
                <w:color w:val="333333"/>
                <w:sz w:val="20"/>
                <w:szCs w:val="20"/>
              </w:rPr>
              <w:t>第五十一条：</w:t>
            </w:r>
            <w:r>
              <w:rPr>
                <w:rFonts w:hint="eastAsia" w:ascii="方正仿宋_GBK" w:hAnsi="方正仿宋_GBK" w:eastAsia="方正仿宋_GBK" w:cs="方正仿宋_GBK"/>
                <w:color w:val="333333"/>
                <w:sz w:val="20"/>
                <w:szCs w:val="20"/>
              </w:rPr>
              <w:t>被许可人以欺骗、贿赂等不正当手段取得食品生产许可的，由原发证的市场监督管理部门撤销许可，并处１万元以上３万元以下罚款。被许可人在３年内不得再次申请食品生产许可。</w:t>
            </w:r>
          </w:p>
          <w:p>
            <w:pPr>
              <w:pStyle w:val="4"/>
              <w:widowControl/>
              <w:snapToGrid w:val="0"/>
              <w:spacing w:before="0" w:beforeAutospacing="0" w:after="0" w:afterAutospacing="0"/>
              <w:rPr>
                <w:rFonts w:hint="eastAsia" w:ascii="方正仿宋_GBK" w:hAnsi="方正仿宋_GBK" w:eastAsia="方正仿宋_GBK" w:cs="方正仿宋_GBK"/>
                <w:color w:val="333333"/>
                <w:sz w:val="20"/>
                <w:szCs w:val="20"/>
                <w:lang w:eastAsia="zh-CN"/>
              </w:rPr>
            </w:pPr>
            <w:r>
              <w:rPr>
                <w:rFonts w:hint="eastAsia" w:ascii="方正仿宋_GBK" w:hAnsi="方正仿宋_GBK" w:eastAsia="方正仿宋_GBK" w:cs="方正仿宋_GBK"/>
                <w:b/>
                <w:bCs/>
                <w:color w:val="333333"/>
                <w:sz w:val="20"/>
                <w:szCs w:val="20"/>
              </w:rPr>
              <w:t>第五十二条</w:t>
            </w:r>
            <w:r>
              <w:rPr>
                <w:rFonts w:hint="eastAsia" w:ascii="方正仿宋_GBK" w:hAnsi="方正仿宋_GBK" w:eastAsia="方正仿宋_GBK" w:cs="方正仿宋_GBK"/>
                <w:color w:val="333333"/>
                <w:sz w:val="20"/>
                <w:szCs w:val="20"/>
              </w:rPr>
              <w:t>：违反本办法第三十一条第一款规定，食品生产者伪造、涂改、倒卖、出租、出借、转让食品生产许可证的，由县级以上地方市场监督管理部门责令改正，给予警告，并处１万元以下罚款；情节严重的，处１万元以上３万元以下罚款。 《保健食品注册与备案管理办法》第七十二条：有下列情形之一的，由县级以上人民政府市场监督管理部门处以</w:t>
            </w:r>
            <w:r>
              <w:rPr>
                <w:rFonts w:ascii="Times New Roman" w:hAnsi="Times New Roman"/>
                <w:color w:val="333333"/>
                <w:sz w:val="20"/>
                <w:szCs w:val="20"/>
              </w:rPr>
              <w:t>1</w:t>
            </w:r>
            <w:r>
              <w:rPr>
                <w:rFonts w:hint="eastAsia" w:ascii="方正仿宋_GBK" w:hAnsi="方正仿宋_GBK" w:eastAsia="方正仿宋_GBK" w:cs="方正仿宋_GBK"/>
                <w:color w:val="333333"/>
                <w:sz w:val="20"/>
                <w:szCs w:val="20"/>
              </w:rPr>
              <w:t>万元以上</w:t>
            </w:r>
            <w:r>
              <w:rPr>
                <w:rFonts w:ascii="Times New Roman" w:hAnsi="Times New Roman"/>
                <w:color w:val="333333"/>
                <w:sz w:val="20"/>
                <w:szCs w:val="20"/>
              </w:rPr>
              <w:t>3</w:t>
            </w:r>
            <w:r>
              <w:rPr>
                <w:rFonts w:hint="eastAsia" w:ascii="方正仿宋_GBK" w:hAnsi="方正仿宋_GBK" w:eastAsia="方正仿宋_GBK" w:cs="方正仿宋_GBK"/>
                <w:color w:val="333333"/>
                <w:sz w:val="20"/>
                <w:szCs w:val="20"/>
              </w:rPr>
              <w:t>万元以下罚款；构成犯罪的，依法追究刑事责任。</w:t>
            </w:r>
          </w:p>
          <w:p>
            <w:pPr>
              <w:pStyle w:val="4"/>
              <w:widowControl/>
              <w:snapToGrid w:val="0"/>
              <w:spacing w:before="0" w:beforeAutospacing="0" w:after="0" w:afterAutospacing="0"/>
              <w:rPr>
                <w:rFonts w:hint="eastAsia" w:ascii="方正仿宋_GBK" w:hAnsi="方正仿宋_GBK" w:eastAsia="方正仿宋_GBK" w:cs="方正仿宋_GBK"/>
                <w:color w:val="333333"/>
                <w:sz w:val="20"/>
                <w:szCs w:val="20"/>
                <w:lang w:eastAsia="zh-CN"/>
              </w:rPr>
            </w:pPr>
            <w:r>
              <w:rPr>
                <w:rFonts w:hint="eastAsia" w:ascii="方正仿宋_GBK" w:hAnsi="方正仿宋_GBK" w:eastAsia="方正仿宋_GBK" w:cs="方正仿宋_GBK"/>
                <w:color w:val="333333"/>
                <w:sz w:val="20"/>
                <w:szCs w:val="20"/>
              </w:rPr>
              <w:t>（一）擅自转让保健食品注册证书的；</w:t>
            </w:r>
          </w:p>
          <w:p>
            <w:pPr>
              <w:pStyle w:val="4"/>
              <w:widowControl/>
              <w:snapToGrid w:val="0"/>
              <w:spacing w:before="0" w:beforeAutospacing="0" w:after="0" w:afterAutospacing="0"/>
              <w:rPr>
                <w:rFonts w:hint="eastAsia" w:ascii="方正仿宋_GBK" w:hAnsi="方正仿宋_GBK" w:eastAsia="方正仿宋_GBK" w:cs="方正仿宋_GBK"/>
                <w:color w:val="333333"/>
                <w:sz w:val="20"/>
                <w:szCs w:val="20"/>
                <w:lang w:eastAsia="zh-CN"/>
              </w:rPr>
            </w:pPr>
            <w:r>
              <w:rPr>
                <w:rFonts w:hint="eastAsia" w:ascii="方正仿宋_GBK" w:hAnsi="方正仿宋_GBK" w:eastAsia="方正仿宋_GBK" w:cs="方正仿宋_GBK"/>
                <w:color w:val="333333"/>
                <w:sz w:val="20"/>
                <w:szCs w:val="20"/>
              </w:rPr>
              <w:t>（二）伪造、涂改、倒卖、出租、出借保健食品注册证书的。 《婴幼儿配方乳粉产品配方注册管理办法》第四十三条 ：申请人隐瞒有关情况或者提供虚假材料、样品申请婴幼儿配方乳粉产品配方注册的，国家食品药品监督管理总局不予受理或者不予注册，对申请人给予警告，并向社会公告。申请人在</w:t>
            </w:r>
            <w:r>
              <w:rPr>
                <w:rFonts w:ascii="Times New Roman" w:hAnsi="Times New Roman"/>
                <w:color w:val="333333"/>
                <w:sz w:val="20"/>
                <w:szCs w:val="20"/>
              </w:rPr>
              <w:t>1</w:t>
            </w:r>
            <w:r>
              <w:rPr>
                <w:rFonts w:hint="eastAsia" w:ascii="方正仿宋_GBK" w:hAnsi="方正仿宋_GBK" w:eastAsia="方正仿宋_GBK" w:cs="方正仿宋_GBK"/>
                <w:color w:val="333333"/>
                <w:sz w:val="20"/>
                <w:szCs w:val="20"/>
              </w:rPr>
              <w:t>年内不得再次申请婴幼儿配方乳粉产品配方注册；涉嫌犯罪的，依法移送公安机关，追究刑事责任。</w:t>
            </w:r>
          </w:p>
          <w:p>
            <w:pPr>
              <w:pStyle w:val="4"/>
              <w:widowControl/>
              <w:snapToGrid w:val="0"/>
              <w:spacing w:before="0" w:beforeAutospacing="0" w:after="0" w:afterAutospacing="0"/>
            </w:pPr>
            <w:r>
              <w:rPr>
                <w:rFonts w:hint="eastAsia" w:ascii="方正仿宋_GBK" w:hAnsi="方正仿宋_GBK" w:eastAsia="方正仿宋_GBK" w:cs="方正仿宋_GBK"/>
                <w:color w:val="333333"/>
                <w:sz w:val="20"/>
                <w:szCs w:val="20"/>
              </w:rPr>
              <w:t>申请人以欺骗、贿赂等不正当手段，或者隐瞒真实情况、提交虚假材料等方式取得婴幼儿配方乳粉产品配方注册证书的，国家食品药品监督管理总局依法予以撤销，处</w:t>
            </w:r>
            <w:r>
              <w:rPr>
                <w:rFonts w:ascii="Times New Roman" w:hAnsi="Times New Roman"/>
                <w:color w:val="333333"/>
                <w:sz w:val="20"/>
                <w:szCs w:val="20"/>
              </w:rPr>
              <w:t>1</w:t>
            </w:r>
            <w:r>
              <w:rPr>
                <w:rFonts w:hint="eastAsia" w:ascii="方正仿宋_GBK" w:hAnsi="方正仿宋_GBK" w:eastAsia="方正仿宋_GBK" w:cs="方正仿宋_GBK"/>
                <w:color w:val="333333"/>
                <w:sz w:val="20"/>
                <w:szCs w:val="20"/>
              </w:rPr>
              <w:t>万元以上</w:t>
            </w:r>
            <w:r>
              <w:rPr>
                <w:rFonts w:ascii="Times New Roman" w:hAnsi="Times New Roman"/>
                <w:color w:val="333333"/>
                <w:sz w:val="20"/>
                <w:szCs w:val="20"/>
              </w:rPr>
              <w:t>3</w:t>
            </w:r>
            <w:r>
              <w:rPr>
                <w:rFonts w:hint="eastAsia" w:ascii="方正仿宋_GBK" w:hAnsi="方正仿宋_GBK" w:eastAsia="方正仿宋_GBK" w:cs="方正仿宋_GBK"/>
                <w:color w:val="333333"/>
                <w:sz w:val="20"/>
                <w:szCs w:val="20"/>
              </w:rPr>
              <w:t>万元以下罚款。被许可人在</w:t>
            </w:r>
            <w:r>
              <w:rPr>
                <w:rFonts w:ascii="Times New Roman" w:hAnsi="Times New Roman"/>
                <w:color w:val="333333"/>
                <w:sz w:val="20"/>
                <w:szCs w:val="20"/>
              </w:rPr>
              <w:t>3</w:t>
            </w:r>
            <w:r>
              <w:rPr>
                <w:rFonts w:hint="eastAsia" w:ascii="方正仿宋_GBK" w:hAnsi="方正仿宋_GBK" w:eastAsia="方正仿宋_GBK" w:cs="方正仿宋_GBK"/>
                <w:color w:val="333333"/>
                <w:sz w:val="20"/>
                <w:szCs w:val="20"/>
              </w:rPr>
              <w:t>年内不得再次申请注册；涉嫌犯罪的，依法移送公安机关，追究刑事责任。</w:t>
            </w:r>
          </w:p>
          <w:p>
            <w:pPr>
              <w:pStyle w:val="4"/>
              <w:widowControl/>
              <w:snapToGrid w:val="0"/>
              <w:spacing w:before="0" w:beforeAutospacing="0" w:after="0" w:afterAutospacing="0"/>
            </w:pPr>
            <w:r>
              <w:rPr>
                <w:rFonts w:hint="eastAsia" w:ascii="方正仿宋_GBK" w:hAnsi="方正仿宋_GBK" w:eastAsia="方正仿宋_GBK" w:cs="方正仿宋_GBK"/>
                <w:b/>
                <w:bCs/>
                <w:color w:val="000000"/>
                <w:sz w:val="20"/>
                <w:szCs w:val="20"/>
              </w:rPr>
              <w:t>第四十五条：</w:t>
            </w:r>
            <w:r>
              <w:rPr>
                <w:rFonts w:hint="eastAsia" w:ascii="方正仿宋_GBK" w:hAnsi="方正仿宋_GBK" w:eastAsia="方正仿宋_GBK" w:cs="方正仿宋_GBK"/>
                <w:color w:val="000000"/>
                <w:sz w:val="20"/>
                <w:szCs w:val="20"/>
              </w:rPr>
              <w:t>伪造、涂改、倒卖、出租、出借、转让婴幼儿配方乳粉产品配方注册证书的，由县级以上食品药品监督管理部门责令改正，给予警告，并处</w:t>
            </w:r>
            <w:r>
              <w:rPr>
                <w:rFonts w:ascii="Times New Roman" w:hAnsi="Times New Roman"/>
                <w:color w:val="333333"/>
                <w:sz w:val="20"/>
                <w:szCs w:val="20"/>
              </w:rPr>
              <w:t>1</w:t>
            </w:r>
            <w:r>
              <w:rPr>
                <w:rFonts w:hint="eastAsia" w:ascii="方正仿宋_GBK" w:hAnsi="方正仿宋_GBK" w:eastAsia="方正仿宋_GBK" w:cs="方正仿宋_GBK"/>
                <w:color w:val="333333"/>
                <w:sz w:val="20"/>
                <w:szCs w:val="20"/>
              </w:rPr>
              <w:t>万元以下罚款；情节严重的，处</w:t>
            </w:r>
            <w:r>
              <w:rPr>
                <w:rFonts w:ascii="Times New Roman" w:hAnsi="Times New Roman"/>
                <w:color w:val="333333"/>
                <w:sz w:val="20"/>
                <w:szCs w:val="20"/>
              </w:rPr>
              <w:t>1</w:t>
            </w:r>
            <w:r>
              <w:rPr>
                <w:rFonts w:hint="eastAsia" w:ascii="方正仿宋_GBK" w:hAnsi="方正仿宋_GBK" w:eastAsia="方正仿宋_GBK" w:cs="方正仿宋_GBK"/>
                <w:color w:val="333333"/>
                <w:sz w:val="20"/>
                <w:szCs w:val="20"/>
              </w:rPr>
              <w:t>万元以上</w:t>
            </w:r>
            <w:r>
              <w:rPr>
                <w:rFonts w:ascii="Times New Roman" w:hAnsi="Times New Roman"/>
                <w:color w:val="333333"/>
                <w:sz w:val="20"/>
                <w:szCs w:val="20"/>
              </w:rPr>
              <w:t>3</w:t>
            </w:r>
            <w:r>
              <w:rPr>
                <w:rFonts w:hint="eastAsia" w:ascii="方正仿宋_GBK" w:hAnsi="方正仿宋_GBK" w:eastAsia="方正仿宋_GBK" w:cs="方正仿宋_GBK"/>
                <w:color w:val="333333"/>
                <w:sz w:val="20"/>
                <w:szCs w:val="20"/>
              </w:rPr>
              <w:t>万元以下罚款；涉嫌犯罪的，依法移送公安机关，追究刑事责任。</w:t>
            </w:r>
          </w:p>
          <w:p>
            <w:pPr>
              <w:pStyle w:val="4"/>
              <w:widowControl/>
              <w:snapToGrid w:val="0"/>
              <w:spacing w:before="0" w:beforeAutospacing="0" w:after="0" w:afterAutospacing="0"/>
              <w:rPr>
                <w:rFonts w:hint="eastAsia" w:ascii="方正仿宋_GBK" w:hAnsi="方正仿宋_GBK" w:eastAsia="方正仿宋_GBK" w:cs="方正仿宋_GBK"/>
                <w:color w:val="000000"/>
                <w:sz w:val="20"/>
                <w:szCs w:val="20"/>
                <w:lang w:eastAsia="zh-CN"/>
              </w:rPr>
            </w:pPr>
            <w:r>
              <w:rPr>
                <w:rFonts w:hint="eastAsia" w:ascii="方正仿宋_GBK" w:hAnsi="方正仿宋_GBK" w:eastAsia="方正仿宋_GBK" w:cs="方正仿宋_GBK"/>
                <w:color w:val="000000"/>
                <w:sz w:val="20"/>
                <w:szCs w:val="20"/>
              </w:rPr>
              <w:t>《特殊医学用途配方食品注册管理办法》第四十三条：申请人隐瞒真实情况或者提供虚假材料申请注册的，国家食品药品监督管理总局不予受理或者不予注册，并给予警告；申请人在</w:t>
            </w:r>
            <w:r>
              <w:rPr>
                <w:color w:val="000000"/>
                <w:sz w:val="20"/>
                <w:szCs w:val="20"/>
              </w:rPr>
              <w:t>1</w:t>
            </w:r>
            <w:r>
              <w:rPr>
                <w:rFonts w:hint="eastAsia" w:ascii="方正仿宋_GBK" w:hAnsi="方正仿宋_GBK" w:eastAsia="方正仿宋_GBK" w:cs="方正仿宋_GBK"/>
                <w:color w:val="000000"/>
                <w:sz w:val="20"/>
                <w:szCs w:val="20"/>
              </w:rPr>
              <w:t>年内不得再次申请注册。</w:t>
            </w:r>
          </w:p>
          <w:p>
            <w:pPr>
              <w:pStyle w:val="4"/>
              <w:widowControl/>
              <w:snapToGrid w:val="0"/>
              <w:spacing w:before="0" w:beforeAutospacing="0" w:after="0" w:afterAutospacing="0"/>
              <w:rPr>
                <w:rFonts w:hint="eastAsia" w:ascii="方正仿宋_GBK" w:hAnsi="方正仿宋_GBK" w:eastAsia="方正仿宋_GBK" w:cs="方正仿宋_GBK"/>
                <w:color w:val="000000"/>
                <w:sz w:val="20"/>
                <w:szCs w:val="20"/>
                <w:lang w:eastAsia="zh-CN"/>
              </w:rPr>
            </w:pPr>
            <w:r>
              <w:rPr>
                <w:rFonts w:hint="eastAsia" w:ascii="方正仿宋_GBK" w:hAnsi="方正仿宋_GBK" w:eastAsia="方正仿宋_GBK" w:cs="方正仿宋_GBK"/>
                <w:b/>
                <w:bCs/>
                <w:color w:val="000000"/>
                <w:sz w:val="20"/>
                <w:szCs w:val="20"/>
              </w:rPr>
              <w:t>第四十四条</w:t>
            </w:r>
            <w:r>
              <w:rPr>
                <w:rFonts w:hint="eastAsia" w:ascii="方正仿宋_GBK" w:hAnsi="方正仿宋_GBK" w:eastAsia="方正仿宋_GBK" w:cs="方正仿宋_GBK"/>
                <w:color w:val="000000"/>
                <w:sz w:val="20"/>
                <w:szCs w:val="20"/>
              </w:rPr>
              <w:t xml:space="preserve"> 被许可人以欺骗、贿赂等不正当手段取得注册证书的，由国家食品药品监督管理总局撤销注册证书，并处</w:t>
            </w:r>
            <w:r>
              <w:rPr>
                <w:color w:val="000000"/>
                <w:sz w:val="20"/>
                <w:szCs w:val="20"/>
              </w:rPr>
              <w:t>1</w:t>
            </w:r>
            <w:r>
              <w:rPr>
                <w:rFonts w:hint="eastAsia" w:ascii="方正仿宋_GBK" w:hAnsi="方正仿宋_GBK" w:eastAsia="方正仿宋_GBK" w:cs="方正仿宋_GBK"/>
                <w:color w:val="000000"/>
                <w:sz w:val="20"/>
                <w:szCs w:val="20"/>
              </w:rPr>
              <w:t>万元以上</w:t>
            </w:r>
            <w:r>
              <w:rPr>
                <w:color w:val="000000"/>
                <w:sz w:val="20"/>
                <w:szCs w:val="20"/>
              </w:rPr>
              <w:t>3</w:t>
            </w:r>
            <w:r>
              <w:rPr>
                <w:rFonts w:hint="eastAsia" w:ascii="方正仿宋_GBK" w:hAnsi="方正仿宋_GBK" w:eastAsia="方正仿宋_GBK" w:cs="方正仿宋_GBK"/>
                <w:color w:val="000000"/>
                <w:sz w:val="20"/>
                <w:szCs w:val="20"/>
              </w:rPr>
              <w:t>万元以下罚款；申请人在</w:t>
            </w:r>
            <w:r>
              <w:rPr>
                <w:color w:val="000000"/>
                <w:sz w:val="20"/>
                <w:szCs w:val="20"/>
              </w:rPr>
              <w:t>3</w:t>
            </w:r>
            <w:r>
              <w:rPr>
                <w:rFonts w:hint="eastAsia" w:ascii="方正仿宋_GBK" w:hAnsi="方正仿宋_GBK" w:eastAsia="方正仿宋_GBK" w:cs="方正仿宋_GBK"/>
                <w:color w:val="000000"/>
                <w:sz w:val="20"/>
                <w:szCs w:val="20"/>
              </w:rPr>
              <w:t>年内不得再次申请注册。</w:t>
            </w:r>
          </w:p>
          <w:p>
            <w:pPr>
              <w:pStyle w:val="4"/>
              <w:widowControl/>
              <w:snapToGrid w:val="0"/>
              <w:spacing w:before="0" w:beforeAutospacing="0" w:after="0" w:afterAutospacing="0"/>
              <w:rPr>
                <w:sz w:val="31"/>
                <w:szCs w:val="31"/>
              </w:rPr>
            </w:pPr>
            <w:r>
              <w:rPr>
                <w:rFonts w:hint="eastAsia" w:ascii="方正仿宋_GBK" w:hAnsi="方正仿宋_GBK" w:eastAsia="方正仿宋_GBK" w:cs="方正仿宋_GBK"/>
                <w:b/>
                <w:bCs/>
                <w:color w:val="000000"/>
                <w:sz w:val="20"/>
                <w:szCs w:val="20"/>
              </w:rPr>
              <w:t>第四十五条：</w:t>
            </w:r>
            <w:r>
              <w:rPr>
                <w:rFonts w:hint="eastAsia" w:ascii="方正仿宋_GBK" w:hAnsi="方正仿宋_GBK" w:eastAsia="方正仿宋_GBK" w:cs="方正仿宋_GBK"/>
                <w:color w:val="000000"/>
                <w:sz w:val="20"/>
                <w:szCs w:val="20"/>
              </w:rPr>
              <w:t>伪造、涂改、倒卖、出租、出借、转让特殊医学用途配方食品注册证书的，由县级以上食品药品监督管理部门责令改正，给予警告，并处</w:t>
            </w:r>
            <w:r>
              <w:rPr>
                <w:color w:val="000000"/>
                <w:sz w:val="20"/>
                <w:szCs w:val="20"/>
              </w:rPr>
              <w:t>1</w:t>
            </w:r>
            <w:r>
              <w:rPr>
                <w:rFonts w:hint="eastAsia" w:ascii="方正仿宋_GBK" w:hAnsi="方正仿宋_GBK" w:eastAsia="方正仿宋_GBK" w:cs="方正仿宋_GBK"/>
                <w:color w:val="000000"/>
                <w:sz w:val="20"/>
                <w:szCs w:val="20"/>
              </w:rPr>
              <w:t>万元以下罚款；情节严重的，处</w:t>
            </w:r>
            <w:r>
              <w:rPr>
                <w:color w:val="000000"/>
                <w:sz w:val="20"/>
                <w:szCs w:val="20"/>
              </w:rPr>
              <w:t>1</w:t>
            </w:r>
            <w:r>
              <w:rPr>
                <w:rFonts w:hint="eastAsia" w:ascii="方正仿宋_GBK" w:hAnsi="方正仿宋_GBK" w:eastAsia="方正仿宋_GBK" w:cs="方正仿宋_GBK"/>
                <w:color w:val="000000"/>
                <w:sz w:val="20"/>
                <w:szCs w:val="20"/>
              </w:rPr>
              <w:t>万元以上</w:t>
            </w:r>
            <w:r>
              <w:rPr>
                <w:color w:val="000000"/>
                <w:sz w:val="20"/>
                <w:szCs w:val="20"/>
              </w:rPr>
              <w:t>3</w:t>
            </w:r>
            <w:r>
              <w:rPr>
                <w:rFonts w:hint="eastAsia" w:ascii="方正仿宋_GBK" w:hAnsi="方正仿宋_GBK" w:eastAsia="方正仿宋_GBK" w:cs="方正仿宋_GBK"/>
                <w:color w:val="000000"/>
                <w:sz w:val="20"/>
                <w:szCs w:val="20"/>
              </w:rPr>
              <w:t>万元以下罚款。</w:t>
            </w:r>
          </w:p>
          <w:p>
            <w:pPr>
              <w:pStyle w:val="4"/>
              <w:widowControl/>
              <w:snapToGrid w:val="0"/>
              <w:spacing w:before="0" w:beforeAutospacing="0" w:after="0" w:afterAutospacing="0"/>
              <w:rPr>
                <w:sz w:val="31"/>
                <w:szCs w:val="31"/>
              </w:rPr>
            </w:pPr>
            <w:r>
              <w:rPr>
                <w:rFonts w:hint="eastAsia" w:ascii="方正仿宋_GBK" w:hAnsi="方正仿宋_GBK" w:eastAsia="方正仿宋_GBK" w:cs="方正仿宋_GBK"/>
                <w:color w:val="000000"/>
                <w:sz w:val="20"/>
                <w:szCs w:val="20"/>
              </w:rPr>
              <w:t>《特种设备安全法》第八十一条第三款：特种设备生产单位涂改、倒卖、出租、出借生产许可证的，责令停止生产，处五万元以上五十万元以下罚款；情节严重的，吊销生产许可证。</w:t>
            </w:r>
          </w:p>
          <w:p>
            <w:pPr>
              <w:pStyle w:val="4"/>
              <w:widowControl/>
              <w:snapToGrid w:val="0"/>
              <w:spacing w:before="0" w:beforeAutospacing="0" w:after="0" w:afterAutospacing="0"/>
              <w:rPr>
                <w:rFonts w:hint="eastAsia" w:ascii="方正仿宋_GBK" w:hAnsi="方正仿宋_GBK" w:eastAsia="方正仿宋_GBK" w:cs="方正仿宋_GBK"/>
                <w:color w:val="000000"/>
                <w:sz w:val="20"/>
                <w:szCs w:val="20"/>
                <w:lang w:eastAsia="zh-CN"/>
              </w:rPr>
            </w:pPr>
            <w:r>
              <w:rPr>
                <w:rFonts w:hint="eastAsia" w:ascii="方正仿宋_GBK" w:hAnsi="方正仿宋_GBK" w:eastAsia="方正仿宋_GBK" w:cs="方正仿宋_GBK"/>
                <w:b/>
                <w:bCs/>
                <w:color w:val="000000"/>
                <w:sz w:val="20"/>
                <w:szCs w:val="20"/>
              </w:rPr>
              <w:t>《药品管理法》第一百二十二条：</w:t>
            </w:r>
            <w:r>
              <w:rPr>
                <w:rFonts w:hint="eastAsia" w:ascii="方正仿宋_GBK" w:hAnsi="方正仿宋_GBK" w:eastAsia="方正仿宋_GBK" w:cs="方正仿宋_GBK"/>
                <w:color w:val="000000"/>
                <w:sz w:val="20"/>
                <w:szCs w:val="20"/>
              </w:rPr>
              <w:t xml:space="preserve"> 伪造、变造、出租、出借、非法买卖许可证或者药品批准证明文件的，没收违法所得，并处违法所得一倍以上五倍以下的罚款；情节严重的，并处违法所得五倍以上十五倍以下的罚款，吊销药品生产许可证、药品经营许可证、医疗机构制剂许可证或者药品批准证明文件，对法定代表人、主要负责人、直接负责的主管人员和其他责任人员，处二万元以上二十万元以下的罚款，十年内禁止从事药品生产经营活动，并可以由公安机关处五日以上十五日以下的拘留；违法所得不足十万元的，按十万元计算。</w:t>
            </w:r>
          </w:p>
          <w:p>
            <w:pPr>
              <w:pStyle w:val="4"/>
              <w:widowControl/>
              <w:snapToGrid w:val="0"/>
              <w:spacing w:before="0" w:beforeAutospacing="0" w:after="0" w:afterAutospacing="0"/>
              <w:rPr>
                <w:sz w:val="31"/>
                <w:szCs w:val="31"/>
              </w:rPr>
            </w:pPr>
            <w:r>
              <w:rPr>
                <w:rFonts w:hint="eastAsia" w:ascii="方正仿宋_GBK" w:hAnsi="方正仿宋_GBK" w:eastAsia="方正仿宋_GBK" w:cs="方正仿宋_GBK"/>
                <w:b/>
                <w:bCs/>
                <w:color w:val="333333"/>
                <w:sz w:val="20"/>
                <w:szCs w:val="20"/>
              </w:rPr>
              <w:t>第一百二十三条</w:t>
            </w:r>
            <w:r>
              <w:rPr>
                <w:rFonts w:hint="eastAsia" w:ascii="方正仿宋_GBK" w:hAnsi="方正仿宋_GBK" w:eastAsia="方正仿宋_GBK" w:cs="方正仿宋_GBK"/>
                <w:color w:val="333333"/>
                <w:sz w:val="20"/>
                <w:szCs w:val="20"/>
              </w:rPr>
              <w:t>：提供虚假的证明、数据、资料、样品或者采取其他手段骗取临床试验许可、药品生产许可、药品经营许可、医疗机构制剂许可或者药品注册等许可的，撤销相关许可，十年内不受理其相应申请，并处五十万元以上五百万元以下的罚款；情节严重的，对法定代表人、主要负责人、直接负责的主管人员和其他责任人员，处二万元以上二十万元以下的罚款，十年内禁止从事药品生产经营活动，并可以由公安机关处五日以上十五日以下的拘留。</w:t>
            </w:r>
          </w:p>
          <w:p>
            <w:pPr>
              <w:pStyle w:val="4"/>
              <w:widowControl/>
              <w:snapToGrid w:val="0"/>
              <w:spacing w:before="0" w:beforeAutospacing="0" w:after="0" w:afterAutospacing="0"/>
              <w:rPr>
                <w:sz w:val="31"/>
                <w:szCs w:val="31"/>
              </w:rPr>
            </w:pPr>
            <w:r>
              <w:rPr>
                <w:rFonts w:hint="eastAsia" w:ascii="方正仿宋_GBK" w:hAnsi="方正仿宋_GBK" w:eastAsia="方正仿宋_GBK" w:cs="方正仿宋_GBK"/>
                <w:b/>
                <w:bCs/>
                <w:color w:val="000000"/>
                <w:sz w:val="20"/>
                <w:szCs w:val="20"/>
              </w:rPr>
              <w:t>《麻醉药品和精神药品管理条例》第八十一条</w:t>
            </w:r>
            <w:r>
              <w:rPr>
                <w:rFonts w:hint="eastAsia" w:ascii="方正仿宋_GBK" w:hAnsi="方正仿宋_GBK" w:eastAsia="方正仿宋_GBK" w:cs="方正仿宋_GBK"/>
                <w:color w:val="000000"/>
                <w:sz w:val="20"/>
                <w:szCs w:val="20"/>
              </w:rPr>
              <w:t>：依法取得麻醉药品药用原植物种植或者麻醉药品和精神药品实验研究、生产、经营、使用、运输等资格的单位，倒卖、转让、出租、出借、涂改其麻醉药品和精神药品许可证明文件的，由原审批部门吊销相应许可证明文件，没收违法所得；情节严重的，处违法所得２倍以上５倍以下的罚款；没有违法所得的，处２万元以上５万元以下的罚款；构成犯罪的，依法追究刑事责任。</w:t>
            </w:r>
          </w:p>
          <w:p>
            <w:pPr>
              <w:pStyle w:val="4"/>
              <w:widowControl/>
              <w:snapToGrid w:val="0"/>
              <w:spacing w:before="0" w:beforeAutospacing="0" w:after="0" w:afterAutospacing="0"/>
              <w:rPr>
                <w:rFonts w:hint="eastAsia" w:ascii="方正仿宋_GBK" w:hAnsi="方正仿宋_GBK" w:eastAsia="方正仿宋_GBK" w:cs="方正仿宋_GBK"/>
                <w:color w:val="333333"/>
                <w:sz w:val="20"/>
                <w:szCs w:val="20"/>
                <w:lang w:eastAsia="zh-CN"/>
              </w:rPr>
            </w:pPr>
            <w:r>
              <w:rPr>
                <w:rFonts w:hint="eastAsia" w:ascii="方正仿宋_GBK" w:hAnsi="方正仿宋_GBK" w:eastAsia="方正仿宋_GBK" w:cs="方正仿宋_GBK"/>
                <w:b/>
                <w:bCs/>
                <w:color w:val="000000"/>
                <w:sz w:val="20"/>
                <w:szCs w:val="20"/>
              </w:rPr>
              <w:t>《医疗器械监督管理条例》第八十三条</w:t>
            </w:r>
            <w:r>
              <w:rPr>
                <w:rFonts w:hint="eastAsia" w:ascii="方正仿宋_GBK" w:hAnsi="方正仿宋_GBK" w:eastAsia="方正仿宋_GBK" w:cs="方正仿宋_GBK"/>
                <w:color w:val="000000"/>
                <w:sz w:val="20"/>
                <w:szCs w:val="20"/>
              </w:rPr>
              <w:t>：在申请医疗器械行政许可时提供虚假资料或者采取其他欺骗手段的，不予行政许可，已经取得行政许可的，由作出行政许可决定的部门撤销行政许可，没收违法所得、违法生产经营使用的医疗器械，</w:t>
            </w:r>
            <w:r>
              <w:rPr>
                <w:rFonts w:hint="eastAsia" w:ascii="方正仿宋_GBK" w:hAnsi="方正仿宋_GBK" w:eastAsia="方正仿宋_GBK" w:cs="方正仿宋_GBK"/>
                <w:color w:val="333333"/>
                <w:sz w:val="20"/>
                <w:szCs w:val="20"/>
              </w:rPr>
              <w:t>10年内不受理相关责任人以及单位提出的医疗器械许可申请；违法生产经营使用的医疗器械货值金额不足1万元的，并处5万元以上15万元以下罚款；货值金额1万元以上的，并处货值金额15倍以上30倍以下罚款；情节严重的，责令停产停业，对违法单位的法定代表人、主要负责人、直接负责的主管人员和其他责任人员，没收违法行为发生期间自本单位所获收入，并处所获收入30%以上3倍以下罚款，终身禁止其从事医疗器械生产经营活动。</w:t>
            </w:r>
          </w:p>
          <w:p>
            <w:pPr>
              <w:pStyle w:val="4"/>
              <w:widowControl/>
              <w:snapToGrid w:val="0"/>
              <w:spacing w:before="0" w:beforeAutospacing="0" w:after="0" w:afterAutospacing="0"/>
              <w:rPr>
                <w:sz w:val="31"/>
                <w:szCs w:val="31"/>
              </w:rPr>
            </w:pPr>
            <w:r>
              <w:rPr>
                <w:rFonts w:hint="eastAsia" w:ascii="方正仿宋_GBK" w:hAnsi="方正仿宋_GBK" w:eastAsia="方正仿宋_GBK" w:cs="方正仿宋_GBK"/>
                <w:color w:val="333333"/>
                <w:sz w:val="20"/>
                <w:szCs w:val="20"/>
              </w:rPr>
              <w:t>伪造、变造、买卖、出租、出借相关医疗器械许可证件的，由原发证部门予以收缴或者吊销，没收违法所得；违法所得不足1万元的，并处5万元以上10万元以下罚款；违法所得1万元以上的，并处违法所得10倍以上20倍以下罚款；构成违反治安管理行为的，由公安机关依法予以治安管理处罚。</w:t>
            </w:r>
          </w:p>
          <w:p>
            <w:pPr>
              <w:pStyle w:val="4"/>
              <w:widowControl/>
              <w:snapToGrid w:val="0"/>
              <w:spacing w:before="0" w:beforeAutospacing="0" w:after="0" w:afterAutospacing="0"/>
              <w:rPr>
                <w:rFonts w:hint="eastAsia" w:ascii="方正仿宋_GBK" w:hAnsi="方正仿宋_GBK" w:eastAsia="方正仿宋_GBK" w:cs="方正仿宋_GBK"/>
                <w:color w:val="333333"/>
                <w:sz w:val="20"/>
                <w:szCs w:val="20"/>
                <w:lang w:eastAsia="zh-CN"/>
              </w:rPr>
            </w:pPr>
            <w:r>
              <w:rPr>
                <w:rFonts w:hint="eastAsia" w:ascii="方正仿宋_GBK" w:hAnsi="方正仿宋_GBK" w:eastAsia="方正仿宋_GBK" w:cs="方正仿宋_GBK"/>
                <w:b/>
                <w:bCs/>
                <w:color w:val="000000"/>
                <w:sz w:val="20"/>
                <w:szCs w:val="20"/>
              </w:rPr>
              <w:t>《化妆品监督管理条例》第六十四条：</w:t>
            </w:r>
            <w:r>
              <w:rPr>
                <w:rFonts w:hint="eastAsia" w:ascii="方正仿宋_GBK" w:hAnsi="方正仿宋_GBK" w:eastAsia="方正仿宋_GBK" w:cs="方正仿宋_GBK"/>
                <w:color w:val="000000"/>
                <w:sz w:val="20"/>
                <w:szCs w:val="20"/>
              </w:rPr>
              <w:t>在申请化妆品行政许可时提供虚假资料或者采取其他欺骗手段的，不予行政许可，已经取得行政许可的，由作出行政许可决定的部门撤销行政许可，</w:t>
            </w:r>
            <w:r>
              <w:rPr>
                <w:rFonts w:hint="eastAsia" w:ascii="方正仿宋_GBK" w:hAnsi="方正仿宋_GBK" w:eastAsia="方正仿宋_GBK" w:cs="方正仿宋_GBK"/>
                <w:color w:val="333333"/>
                <w:sz w:val="20"/>
                <w:szCs w:val="20"/>
              </w:rPr>
              <w:t>5年内不受理其提出的化妆品相关许可申请，没收违法所得和已经生产、进口的化妆品；已经生产、进口的化妆品货值金额不足1万元的，并处5万元以上15万元以下罚款；货值金额1万元以上的，并处货值金额15倍以上30倍以下罚款；对违法单位的法定代表人或者主要负责人、直接负责的主管人员和其他直接责任人员处以其上一年度从本单位取得收入的3倍以上5倍以下罚款，终身禁止其从事化妆品生产经营活动。</w:t>
            </w:r>
          </w:p>
          <w:p>
            <w:pPr>
              <w:pStyle w:val="4"/>
              <w:widowControl/>
              <w:snapToGrid w:val="0"/>
              <w:spacing w:before="0" w:beforeAutospacing="0" w:after="0" w:afterAutospacing="0"/>
              <w:rPr>
                <w:sz w:val="31"/>
                <w:szCs w:val="31"/>
              </w:rPr>
            </w:pPr>
            <w:r>
              <w:rPr>
                <w:rFonts w:hint="eastAsia" w:ascii="方正仿宋_GBK" w:hAnsi="方正仿宋_GBK" w:eastAsia="方正仿宋_GBK" w:cs="方正仿宋_GBK"/>
                <w:color w:val="333333"/>
                <w:sz w:val="20"/>
                <w:szCs w:val="20"/>
              </w:rPr>
              <w:t>伪造、变造、出租、出借或者转让化妆品许可证件的，由负责药品监督管理的部门或者原发证部门予以收缴或者吊销，没收违法所得；违法所得不足1万元的，并处5万元以上10万元以下罚款；违法所得1万元以上的，并处违法所得10倍以上20倍以下罚款；构成违反治安管理行为的，由公安机关依法给予治安管理处罚；构成犯罪的，依法追究刑事责任。</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380" w:type="dxa"/>
            <w:vMerge w:val="continue"/>
            <w:tcBorders>
              <w:top w:val="single" w:color="000000" w:sz="6" w:space="0"/>
              <w:left w:val="single" w:color="000000" w:sz="6" w:space="0"/>
              <w:bottom w:val="single" w:color="000000" w:sz="6" w:space="0"/>
              <w:right w:val="single" w:color="000000" w:sz="6" w:space="0"/>
            </w:tcBorders>
            <w:noWrap w:val="0"/>
            <w:tcMar>
              <w:top w:w="14" w:type="dxa"/>
              <w:left w:w="14" w:type="dxa"/>
              <w:right w:w="14" w:type="dxa"/>
            </w:tcMar>
            <w:vAlign w:val="center"/>
          </w:tcPr>
          <w:p>
            <w:pPr>
              <w:snapToGrid w:val="0"/>
              <w:rPr>
                <w:rFonts w:hint="eastAsia" w:ascii="宋体"/>
                <w:color w:val="333333"/>
                <w:sz w:val="24"/>
              </w:rPr>
            </w:pPr>
          </w:p>
        </w:tc>
        <w:tc>
          <w:tcPr>
            <w:tcW w:w="553" w:type="dxa"/>
            <w:vMerge w:val="continue"/>
            <w:tcBorders>
              <w:top w:val="single" w:color="000000" w:sz="6" w:space="0"/>
              <w:left w:val="single" w:color="000000" w:sz="6" w:space="0"/>
              <w:bottom w:val="single" w:color="000000" w:sz="6" w:space="0"/>
              <w:right w:val="single" w:color="000000" w:sz="6" w:space="0"/>
            </w:tcBorders>
            <w:noWrap w:val="0"/>
            <w:tcMar>
              <w:top w:w="14" w:type="dxa"/>
              <w:left w:w="14" w:type="dxa"/>
              <w:right w:w="14" w:type="dxa"/>
            </w:tcMar>
            <w:vAlign w:val="center"/>
          </w:tcPr>
          <w:p>
            <w:pPr>
              <w:snapToGrid w:val="0"/>
              <w:rPr>
                <w:rFonts w:hint="eastAsia" w:ascii="宋体"/>
                <w:color w:val="333333"/>
                <w:sz w:val="24"/>
              </w:rPr>
            </w:pPr>
          </w:p>
        </w:tc>
        <w:tc>
          <w:tcPr>
            <w:tcW w:w="2708" w:type="dxa"/>
            <w:vMerge w:val="restart"/>
            <w:tcBorders>
              <w:top w:val="single" w:color="000000" w:sz="6" w:space="0"/>
              <w:left w:val="single" w:color="000000" w:sz="6" w:space="0"/>
              <w:bottom w:val="single" w:color="000000" w:sz="6" w:space="0"/>
              <w:right w:val="single" w:color="000000" w:sz="6" w:space="0"/>
            </w:tcBorders>
            <w:noWrap w:val="0"/>
            <w:tcMar>
              <w:top w:w="14" w:type="dxa"/>
              <w:left w:w="14" w:type="dxa"/>
              <w:right w:w="14" w:type="dxa"/>
            </w:tcMar>
            <w:vAlign w:val="center"/>
          </w:tcPr>
          <w:p>
            <w:pPr>
              <w:pStyle w:val="4"/>
              <w:widowControl/>
              <w:snapToGrid w:val="0"/>
              <w:spacing w:before="0" w:beforeAutospacing="0" w:after="0" w:afterAutospacing="0"/>
              <w:rPr>
                <w:rFonts w:hint="eastAsia" w:ascii="方正仿宋_GBK" w:hAnsi="方正仿宋_GBK" w:eastAsia="方正仿宋_GBK" w:cs="方正仿宋_GBK"/>
                <w:color w:val="000000"/>
                <w:sz w:val="20"/>
                <w:szCs w:val="20"/>
              </w:rPr>
            </w:pPr>
          </w:p>
          <w:p>
            <w:pPr>
              <w:pStyle w:val="4"/>
              <w:widowControl/>
              <w:snapToGrid w:val="0"/>
              <w:spacing w:before="0" w:beforeAutospacing="0" w:after="0" w:afterAutospacing="0"/>
              <w:rPr>
                <w:rFonts w:hint="eastAsia" w:ascii="方正仿宋_GBK" w:hAnsi="方正仿宋_GBK" w:eastAsia="方正仿宋_GBK" w:cs="方正仿宋_GBK"/>
                <w:color w:val="000000"/>
                <w:sz w:val="20"/>
                <w:szCs w:val="20"/>
              </w:rPr>
            </w:pPr>
          </w:p>
          <w:p>
            <w:pPr>
              <w:pStyle w:val="4"/>
              <w:widowControl/>
              <w:snapToGrid w:val="0"/>
              <w:spacing w:before="0" w:beforeAutospacing="0" w:after="0" w:afterAutospacing="0"/>
              <w:rPr>
                <w:rFonts w:hint="eastAsia" w:ascii="方正仿宋_GBK" w:hAnsi="方正仿宋_GBK" w:eastAsia="方正仿宋_GBK" w:cs="方正仿宋_GBK"/>
                <w:color w:val="000000"/>
                <w:sz w:val="20"/>
                <w:szCs w:val="20"/>
              </w:rPr>
            </w:pPr>
          </w:p>
          <w:p>
            <w:pPr>
              <w:pStyle w:val="4"/>
              <w:widowControl/>
              <w:snapToGrid w:val="0"/>
              <w:spacing w:before="0" w:beforeAutospacing="0" w:after="0" w:afterAutospacing="0"/>
              <w:rPr>
                <w:sz w:val="31"/>
                <w:szCs w:val="31"/>
              </w:rPr>
            </w:pPr>
            <w:r>
              <w:rPr>
                <w:rFonts w:hint="eastAsia" w:ascii="方正仿宋_GBK" w:hAnsi="方正仿宋_GBK" w:eastAsia="方正仿宋_GBK" w:cs="方正仿宋_GBK"/>
                <w:color w:val="000000"/>
                <w:sz w:val="20"/>
                <w:szCs w:val="20"/>
              </w:rPr>
              <w:t>拒绝、阻碍、干扰市场监督管理部门依法开展监督检查和事故调查</w:t>
            </w:r>
          </w:p>
        </w:tc>
        <w:tc>
          <w:tcPr>
            <w:tcW w:w="6559" w:type="dxa"/>
            <w:tcBorders>
              <w:top w:val="single" w:color="000000" w:sz="6" w:space="0"/>
              <w:left w:val="single" w:color="000000" w:sz="6" w:space="0"/>
              <w:bottom w:val="single" w:color="000000" w:sz="6" w:space="0"/>
              <w:right w:val="single" w:color="000000" w:sz="6" w:space="0"/>
            </w:tcBorders>
            <w:noWrap w:val="0"/>
            <w:tcMar>
              <w:top w:w="14" w:type="dxa"/>
              <w:left w:w="14" w:type="dxa"/>
              <w:right w:w="14" w:type="dxa"/>
            </w:tcMar>
            <w:vAlign w:val="center"/>
          </w:tcPr>
          <w:p>
            <w:pPr>
              <w:pStyle w:val="4"/>
              <w:widowControl/>
              <w:snapToGrid w:val="0"/>
              <w:spacing w:before="0" w:beforeAutospacing="0" w:after="0" w:afterAutospacing="0"/>
              <w:rPr>
                <w:sz w:val="31"/>
                <w:szCs w:val="31"/>
              </w:rPr>
            </w:pPr>
            <w:r>
              <w:rPr>
                <w:rFonts w:hint="eastAsia" w:ascii="方正仿宋_GBK" w:hAnsi="方正仿宋_GBK" w:eastAsia="方正仿宋_GBK" w:cs="方正仿宋_GBK"/>
                <w:b/>
                <w:bCs/>
                <w:color w:val="000000"/>
                <w:sz w:val="20"/>
                <w:szCs w:val="20"/>
              </w:rPr>
              <w:t>《产品质量法》第五十六条</w:t>
            </w:r>
            <w:r>
              <w:rPr>
                <w:rFonts w:hint="eastAsia" w:ascii="方正仿宋_GBK" w:hAnsi="方正仿宋_GBK" w:eastAsia="方正仿宋_GBK" w:cs="方正仿宋_GBK"/>
                <w:color w:val="000000"/>
                <w:sz w:val="20"/>
                <w:szCs w:val="20"/>
              </w:rPr>
              <w:t>：拒绝接受依法进行的产品质量监督检查的，给予警告， 责令改正；拒不改正的，责令停业整顿；情节特别严重的，吊销营业执照。</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380" w:type="dxa"/>
            <w:vMerge w:val="continue"/>
            <w:tcBorders>
              <w:top w:val="single" w:color="000000" w:sz="6" w:space="0"/>
              <w:left w:val="single" w:color="000000" w:sz="6" w:space="0"/>
              <w:bottom w:val="single" w:color="000000" w:sz="6" w:space="0"/>
              <w:right w:val="single" w:color="000000" w:sz="6" w:space="0"/>
            </w:tcBorders>
            <w:noWrap w:val="0"/>
            <w:tcMar>
              <w:top w:w="14" w:type="dxa"/>
              <w:left w:w="14" w:type="dxa"/>
              <w:right w:w="14" w:type="dxa"/>
            </w:tcMar>
            <w:vAlign w:val="center"/>
          </w:tcPr>
          <w:p>
            <w:pPr>
              <w:snapToGrid w:val="0"/>
              <w:rPr>
                <w:rFonts w:hint="eastAsia" w:ascii="宋体"/>
                <w:color w:val="333333"/>
                <w:sz w:val="24"/>
              </w:rPr>
            </w:pPr>
          </w:p>
        </w:tc>
        <w:tc>
          <w:tcPr>
            <w:tcW w:w="553" w:type="dxa"/>
            <w:vMerge w:val="continue"/>
            <w:tcBorders>
              <w:top w:val="single" w:color="000000" w:sz="6" w:space="0"/>
              <w:left w:val="single" w:color="000000" w:sz="6" w:space="0"/>
              <w:bottom w:val="single" w:color="000000" w:sz="6" w:space="0"/>
              <w:right w:val="single" w:color="000000" w:sz="6" w:space="0"/>
            </w:tcBorders>
            <w:noWrap w:val="0"/>
            <w:tcMar>
              <w:top w:w="14" w:type="dxa"/>
              <w:left w:w="14" w:type="dxa"/>
              <w:right w:w="14" w:type="dxa"/>
            </w:tcMar>
            <w:vAlign w:val="center"/>
          </w:tcPr>
          <w:p>
            <w:pPr>
              <w:snapToGrid w:val="0"/>
              <w:rPr>
                <w:rFonts w:hint="eastAsia" w:ascii="宋体"/>
                <w:color w:val="333333"/>
                <w:sz w:val="24"/>
              </w:rPr>
            </w:pPr>
          </w:p>
        </w:tc>
        <w:tc>
          <w:tcPr>
            <w:tcW w:w="2708" w:type="dxa"/>
            <w:vMerge w:val="continue"/>
            <w:tcBorders>
              <w:top w:val="single" w:color="000000" w:sz="6" w:space="0"/>
              <w:left w:val="single" w:color="000000" w:sz="6" w:space="0"/>
              <w:bottom w:val="single" w:color="000000" w:sz="6" w:space="0"/>
              <w:right w:val="single" w:color="000000" w:sz="6" w:space="0"/>
            </w:tcBorders>
            <w:noWrap w:val="0"/>
            <w:tcMar>
              <w:top w:w="14" w:type="dxa"/>
              <w:left w:w="14" w:type="dxa"/>
              <w:right w:w="14" w:type="dxa"/>
            </w:tcMar>
            <w:vAlign w:val="center"/>
          </w:tcPr>
          <w:p>
            <w:pPr>
              <w:snapToGrid w:val="0"/>
              <w:rPr>
                <w:rFonts w:hint="eastAsia" w:ascii="宋体"/>
                <w:color w:val="333333"/>
                <w:sz w:val="24"/>
              </w:rPr>
            </w:pPr>
          </w:p>
        </w:tc>
        <w:tc>
          <w:tcPr>
            <w:tcW w:w="6559" w:type="dxa"/>
            <w:tcBorders>
              <w:top w:val="single" w:color="000000" w:sz="6" w:space="0"/>
              <w:left w:val="single" w:color="000000" w:sz="6" w:space="0"/>
              <w:bottom w:val="single" w:color="000000" w:sz="6" w:space="0"/>
              <w:right w:val="single" w:color="000000" w:sz="6" w:space="0"/>
            </w:tcBorders>
            <w:noWrap w:val="0"/>
            <w:tcMar>
              <w:top w:w="14" w:type="dxa"/>
              <w:left w:w="14" w:type="dxa"/>
              <w:right w:w="14" w:type="dxa"/>
            </w:tcMar>
            <w:vAlign w:val="center"/>
          </w:tcPr>
          <w:p>
            <w:pPr>
              <w:pStyle w:val="4"/>
              <w:widowControl/>
              <w:snapToGrid w:val="0"/>
              <w:spacing w:before="0" w:beforeAutospacing="0" w:after="0" w:afterAutospacing="0"/>
              <w:rPr>
                <w:sz w:val="31"/>
                <w:szCs w:val="31"/>
              </w:rPr>
            </w:pPr>
            <w:r>
              <w:rPr>
                <w:rFonts w:hint="eastAsia" w:ascii="方正仿宋_GBK" w:hAnsi="方正仿宋_GBK" w:eastAsia="方正仿宋_GBK" w:cs="方正仿宋_GBK"/>
                <w:b/>
                <w:bCs/>
                <w:color w:val="000000"/>
                <w:sz w:val="20"/>
                <w:szCs w:val="20"/>
              </w:rPr>
              <w:t>《食品安全法》第一百三十三条</w:t>
            </w:r>
            <w:r>
              <w:rPr>
                <w:rFonts w:hint="eastAsia" w:ascii="方正仿宋_GBK" w:hAnsi="方正仿宋_GBK" w:eastAsia="方正仿宋_GBK" w:cs="方正仿宋_GBK"/>
                <w:color w:val="000000"/>
                <w:sz w:val="20"/>
                <w:szCs w:val="20"/>
              </w:rPr>
              <w:t>：违反本法规定，拒绝、阻挠、干涉有关部门、机构及其工作人员依法开展食品安全监督检查、事故调查处理、风险监测和风险评估的，由有关主管部门按照各自职责分工责令停产停业，并处二千元以上五万元以下罚款；情节严重的，吊销许可证；构成违反治安管理行为的，由公安机关依法给予治安管理处罚。</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380" w:type="dxa"/>
            <w:vMerge w:val="continue"/>
            <w:tcBorders>
              <w:top w:val="single" w:color="000000" w:sz="6" w:space="0"/>
              <w:left w:val="single" w:color="000000" w:sz="6" w:space="0"/>
              <w:bottom w:val="single" w:color="000000" w:sz="6" w:space="0"/>
              <w:right w:val="single" w:color="000000" w:sz="6" w:space="0"/>
            </w:tcBorders>
            <w:noWrap w:val="0"/>
            <w:tcMar>
              <w:top w:w="14" w:type="dxa"/>
              <w:left w:w="14" w:type="dxa"/>
              <w:right w:w="14" w:type="dxa"/>
            </w:tcMar>
            <w:vAlign w:val="center"/>
          </w:tcPr>
          <w:p>
            <w:pPr>
              <w:snapToGrid w:val="0"/>
              <w:rPr>
                <w:rFonts w:hint="eastAsia" w:ascii="宋体"/>
                <w:color w:val="333333"/>
                <w:sz w:val="24"/>
              </w:rPr>
            </w:pPr>
          </w:p>
        </w:tc>
        <w:tc>
          <w:tcPr>
            <w:tcW w:w="553" w:type="dxa"/>
            <w:vMerge w:val="continue"/>
            <w:tcBorders>
              <w:top w:val="single" w:color="000000" w:sz="6" w:space="0"/>
              <w:left w:val="single" w:color="000000" w:sz="6" w:space="0"/>
              <w:bottom w:val="single" w:color="000000" w:sz="6" w:space="0"/>
              <w:right w:val="single" w:color="000000" w:sz="6" w:space="0"/>
            </w:tcBorders>
            <w:noWrap w:val="0"/>
            <w:tcMar>
              <w:top w:w="14" w:type="dxa"/>
              <w:left w:w="14" w:type="dxa"/>
              <w:right w:w="14" w:type="dxa"/>
            </w:tcMar>
            <w:vAlign w:val="center"/>
          </w:tcPr>
          <w:p>
            <w:pPr>
              <w:snapToGrid w:val="0"/>
              <w:rPr>
                <w:rFonts w:hint="eastAsia" w:ascii="宋体"/>
                <w:color w:val="333333"/>
                <w:sz w:val="24"/>
              </w:rPr>
            </w:pPr>
          </w:p>
        </w:tc>
        <w:tc>
          <w:tcPr>
            <w:tcW w:w="2708" w:type="dxa"/>
            <w:vMerge w:val="continue"/>
            <w:tcBorders>
              <w:top w:val="single" w:color="000000" w:sz="6" w:space="0"/>
              <w:left w:val="single" w:color="000000" w:sz="6" w:space="0"/>
              <w:bottom w:val="single" w:color="000000" w:sz="6" w:space="0"/>
              <w:right w:val="single" w:color="000000" w:sz="6" w:space="0"/>
            </w:tcBorders>
            <w:noWrap w:val="0"/>
            <w:tcMar>
              <w:top w:w="14" w:type="dxa"/>
              <w:left w:w="14" w:type="dxa"/>
              <w:right w:w="14" w:type="dxa"/>
            </w:tcMar>
            <w:vAlign w:val="center"/>
          </w:tcPr>
          <w:p>
            <w:pPr>
              <w:snapToGrid w:val="0"/>
              <w:rPr>
                <w:rFonts w:hint="eastAsia" w:ascii="宋体"/>
                <w:color w:val="333333"/>
                <w:sz w:val="24"/>
              </w:rPr>
            </w:pPr>
          </w:p>
        </w:tc>
        <w:tc>
          <w:tcPr>
            <w:tcW w:w="6559" w:type="dxa"/>
            <w:tcBorders>
              <w:top w:val="single" w:color="000000" w:sz="6" w:space="0"/>
              <w:left w:val="single" w:color="000000" w:sz="6" w:space="0"/>
              <w:bottom w:val="single" w:color="000000" w:sz="6" w:space="0"/>
              <w:right w:val="single" w:color="000000" w:sz="6" w:space="0"/>
            </w:tcBorders>
            <w:noWrap w:val="0"/>
            <w:tcMar>
              <w:top w:w="14" w:type="dxa"/>
              <w:left w:w="14" w:type="dxa"/>
              <w:right w:w="14" w:type="dxa"/>
            </w:tcMar>
            <w:vAlign w:val="center"/>
          </w:tcPr>
          <w:p>
            <w:pPr>
              <w:pStyle w:val="4"/>
              <w:widowControl/>
              <w:snapToGrid w:val="0"/>
              <w:spacing w:before="0" w:beforeAutospacing="0" w:after="0" w:afterAutospacing="0"/>
              <w:rPr>
                <w:rFonts w:hint="eastAsia" w:ascii="方正仿宋_GBK" w:hAnsi="方正仿宋_GBK" w:eastAsia="方正仿宋_GBK" w:cs="方正仿宋_GBK"/>
                <w:color w:val="000000"/>
                <w:sz w:val="20"/>
                <w:szCs w:val="20"/>
                <w:lang w:eastAsia="zh-CN"/>
              </w:rPr>
            </w:pPr>
            <w:r>
              <w:rPr>
                <w:rFonts w:hint="eastAsia" w:ascii="方正仿宋_GBK" w:hAnsi="方正仿宋_GBK" w:eastAsia="方正仿宋_GBK" w:cs="方正仿宋_GBK"/>
                <w:b/>
                <w:bCs/>
                <w:color w:val="000000"/>
                <w:sz w:val="20"/>
                <w:szCs w:val="20"/>
              </w:rPr>
              <w:t>《特种设备安全法》第八十九条：</w:t>
            </w:r>
            <w:r>
              <w:rPr>
                <w:rFonts w:hint="eastAsia" w:ascii="方正仿宋_GBK" w:hAnsi="方正仿宋_GBK" w:eastAsia="方正仿宋_GBK" w:cs="方正仿宋_GBK"/>
                <w:color w:val="000000"/>
                <w:sz w:val="20"/>
                <w:szCs w:val="20"/>
              </w:rPr>
              <w:t>发生特种设备事故，有下列情形之一的，对单位处五万元以上二十万元以下罚款；对主要负责人处一万元以上五万元以下罚款；主要负责人属于国家工作人员的，并依法给予处分：</w:t>
            </w:r>
          </w:p>
          <w:p>
            <w:pPr>
              <w:pStyle w:val="4"/>
              <w:widowControl/>
              <w:snapToGrid w:val="0"/>
              <w:spacing w:before="0" w:beforeAutospacing="0" w:after="0" w:afterAutospacing="0"/>
              <w:rPr>
                <w:sz w:val="31"/>
                <w:szCs w:val="31"/>
              </w:rPr>
            </w:pPr>
            <w:r>
              <w:rPr>
                <w:rFonts w:hint="eastAsia" w:ascii="方正仿宋_GBK" w:hAnsi="方正仿宋_GBK" w:eastAsia="方正仿宋_GBK" w:cs="方正仿宋_GBK"/>
                <w:color w:val="000000"/>
                <w:sz w:val="20"/>
                <w:szCs w:val="20"/>
              </w:rPr>
              <w:t>（二）对特种设备事故迟报、谎报或者瞒报的。</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2401" w:hRule="atLeast"/>
          <w:jc w:val="center"/>
        </w:trPr>
        <w:tc>
          <w:tcPr>
            <w:tcW w:w="380" w:type="dxa"/>
            <w:tcBorders>
              <w:top w:val="nil"/>
              <w:left w:val="single" w:color="000000" w:sz="6" w:space="0"/>
              <w:bottom w:val="single" w:color="000000" w:sz="6" w:space="0"/>
              <w:right w:val="single" w:color="000000" w:sz="6" w:space="0"/>
            </w:tcBorders>
            <w:noWrap w:val="0"/>
            <w:tcMar>
              <w:left w:w="14" w:type="dxa"/>
              <w:right w:w="14" w:type="dxa"/>
            </w:tcMar>
            <w:vAlign w:val="center"/>
          </w:tcPr>
          <w:p>
            <w:pPr>
              <w:pStyle w:val="4"/>
              <w:widowControl/>
              <w:snapToGrid w:val="0"/>
              <w:spacing w:before="0" w:beforeAutospacing="0" w:after="0" w:afterAutospacing="0"/>
              <w:jc w:val="center"/>
              <w:rPr>
                <w:sz w:val="31"/>
                <w:szCs w:val="31"/>
              </w:rPr>
            </w:pPr>
            <w:r>
              <w:rPr>
                <w:rFonts w:hint="eastAsia" w:ascii="方正仿宋_GBK" w:hAnsi="方正仿宋_GBK" w:eastAsia="方正仿宋_GBK" w:cs="方正仿宋_GBK"/>
                <w:color w:val="000000"/>
                <w:sz w:val="20"/>
                <w:szCs w:val="20"/>
              </w:rPr>
              <w:t>第十一条</w:t>
            </w:r>
          </w:p>
        </w:tc>
        <w:tc>
          <w:tcPr>
            <w:tcW w:w="553" w:type="dxa"/>
            <w:tcBorders>
              <w:top w:val="nil"/>
              <w:left w:val="single" w:color="000000" w:sz="6" w:space="0"/>
              <w:bottom w:val="single" w:color="000000" w:sz="6" w:space="0"/>
              <w:right w:val="single" w:color="000000" w:sz="6" w:space="0"/>
            </w:tcBorders>
            <w:noWrap w:val="0"/>
            <w:tcMar>
              <w:left w:w="14" w:type="dxa"/>
              <w:right w:w="14" w:type="dxa"/>
            </w:tcMar>
            <w:vAlign w:val="center"/>
          </w:tcPr>
          <w:p>
            <w:pPr>
              <w:pStyle w:val="4"/>
              <w:widowControl/>
              <w:snapToGrid w:val="0"/>
              <w:spacing w:before="0" w:beforeAutospacing="0" w:after="0" w:afterAutospacing="0"/>
              <w:rPr>
                <w:sz w:val="31"/>
                <w:szCs w:val="31"/>
              </w:rPr>
            </w:pPr>
          </w:p>
        </w:tc>
        <w:tc>
          <w:tcPr>
            <w:tcW w:w="2708" w:type="dxa"/>
            <w:tcBorders>
              <w:top w:val="nil"/>
              <w:left w:val="single" w:color="000000" w:sz="6" w:space="0"/>
              <w:bottom w:val="single" w:color="000000" w:sz="6" w:space="0"/>
              <w:right w:val="nil"/>
            </w:tcBorders>
            <w:noWrap w:val="0"/>
            <w:tcMar>
              <w:left w:w="14" w:type="dxa"/>
            </w:tcMar>
            <w:vAlign w:val="center"/>
          </w:tcPr>
          <w:p>
            <w:pPr>
              <w:pStyle w:val="4"/>
              <w:widowControl/>
              <w:snapToGrid w:val="0"/>
              <w:spacing w:before="0" w:beforeAutospacing="0" w:after="0" w:afterAutospacing="0"/>
              <w:rPr>
                <w:sz w:val="31"/>
                <w:szCs w:val="31"/>
              </w:rPr>
            </w:pPr>
            <w:r>
              <w:rPr>
                <w:rFonts w:hint="eastAsia" w:ascii="方正仿宋_GBK" w:hAnsi="方正仿宋_GBK" w:eastAsia="方正仿宋_GBK" w:cs="方正仿宋_GBK"/>
                <w:color w:val="000000"/>
                <w:sz w:val="20"/>
                <w:szCs w:val="20"/>
              </w:rPr>
              <w:t xml:space="preserve">当事人在市场监督管理部门作出行政处罚、行 </w:t>
            </w:r>
            <w:r>
              <w:rPr>
                <w:rFonts w:ascii="方正仿宋_GBK" w:hAnsi="方正仿宋_GBK" w:eastAsia="方正仿宋_GBK" w:cs="方正仿宋_GBK"/>
                <w:color w:val="000000"/>
                <w:sz w:val="20"/>
                <w:szCs w:val="20"/>
              </w:rPr>
              <w:t xml:space="preserve">  </w:t>
            </w:r>
            <w:r>
              <w:rPr>
                <w:rFonts w:hint="eastAsia" w:ascii="方正仿宋_GBK" w:hAnsi="方正仿宋_GBK" w:eastAsia="方正仿宋_GBK" w:cs="方正仿宋_GBK"/>
                <w:color w:val="000000"/>
                <w:sz w:val="20"/>
                <w:szCs w:val="20"/>
              </w:rPr>
              <w:t>政裁决等行政决定后，有履行能力但拒不履行、逃避执行等，严重影响市场监督管理部门公信力的</w:t>
            </w:r>
          </w:p>
        </w:tc>
        <w:tc>
          <w:tcPr>
            <w:tcW w:w="6559" w:type="dxa"/>
            <w:tcBorders>
              <w:top w:val="single" w:color="000000" w:sz="6" w:space="0"/>
              <w:left w:val="single" w:color="000000" w:sz="6" w:space="0"/>
              <w:bottom w:val="single" w:color="000000" w:sz="6" w:space="0"/>
              <w:right w:val="single" w:color="000000" w:sz="6" w:space="0"/>
            </w:tcBorders>
            <w:noWrap w:val="0"/>
            <w:tcMar>
              <w:top w:w="14" w:type="dxa"/>
              <w:left w:w="14" w:type="dxa"/>
              <w:right w:w="14" w:type="dxa"/>
            </w:tcMar>
            <w:vAlign w:val="center"/>
          </w:tcPr>
          <w:p>
            <w:pPr>
              <w:pStyle w:val="4"/>
              <w:widowControl/>
              <w:snapToGrid w:val="0"/>
              <w:spacing w:before="0" w:beforeAutospacing="0" w:after="0" w:afterAutospacing="0"/>
              <w:rPr>
                <w:sz w:val="31"/>
                <w:szCs w:val="31"/>
              </w:rPr>
            </w:pPr>
          </w:p>
        </w:tc>
      </w:tr>
    </w:tbl>
    <w:p>
      <w:pPr>
        <w:pStyle w:val="4"/>
        <w:widowControl/>
        <w:spacing w:before="0" w:beforeAutospacing="0" w:after="0" w:afterAutospacing="0" w:line="450" w:lineRule="atLeast"/>
        <w:rPr>
          <w:sz w:val="31"/>
          <w:szCs w:val="31"/>
        </w:rPr>
      </w:pPr>
    </w:p>
    <w:p>
      <w:pPr>
        <w:pStyle w:val="4"/>
        <w:widowControl/>
        <w:spacing w:before="0" w:beforeAutospacing="0" w:after="0" w:afterAutospacing="0" w:line="450" w:lineRule="atLeast"/>
        <w:rPr>
          <w:sz w:val="31"/>
          <w:szCs w:val="31"/>
        </w:rPr>
      </w:pPr>
    </w:p>
    <w:p>
      <w:pPr>
        <w:pStyle w:val="4"/>
        <w:widowControl/>
        <w:spacing w:before="0" w:beforeAutospacing="0" w:after="0" w:afterAutospacing="0" w:line="450" w:lineRule="atLeast"/>
        <w:rPr>
          <w:sz w:val="31"/>
          <w:szCs w:val="31"/>
        </w:rPr>
      </w:pPr>
    </w:p>
    <w:p>
      <w:pPr>
        <w:pStyle w:val="4"/>
        <w:widowControl/>
        <w:spacing w:before="0" w:beforeAutospacing="0" w:after="0" w:afterAutospacing="0" w:line="450" w:lineRule="atLeast"/>
        <w:ind w:firstLine="634"/>
        <w:rPr>
          <w:sz w:val="31"/>
          <w:szCs w:val="31"/>
        </w:rPr>
      </w:pPr>
    </w:p>
    <w:p>
      <w:pPr>
        <w:pStyle w:val="4"/>
        <w:widowControl/>
        <w:spacing w:before="0" w:beforeAutospacing="0" w:after="0" w:afterAutospacing="0" w:line="450" w:lineRule="atLeast"/>
        <w:ind w:firstLine="634"/>
        <w:rPr>
          <w:sz w:val="31"/>
          <w:szCs w:val="31"/>
        </w:rPr>
      </w:pPr>
    </w:p>
    <w:p>
      <w:pPr>
        <w:pStyle w:val="4"/>
        <w:widowControl/>
        <w:spacing w:before="0" w:beforeAutospacing="0" w:after="0" w:afterAutospacing="0" w:line="450" w:lineRule="atLeast"/>
        <w:ind w:firstLine="634"/>
        <w:rPr>
          <w:sz w:val="31"/>
          <w:szCs w:val="31"/>
        </w:rPr>
      </w:pPr>
    </w:p>
    <w:p>
      <w:pPr>
        <w:pStyle w:val="4"/>
        <w:widowControl/>
        <w:spacing w:before="0" w:beforeAutospacing="0" w:after="0" w:afterAutospacing="0" w:line="450" w:lineRule="atLeast"/>
        <w:ind w:firstLine="634"/>
        <w:rPr>
          <w:sz w:val="31"/>
          <w:szCs w:val="31"/>
        </w:rPr>
      </w:pPr>
    </w:p>
    <w:p>
      <w:pPr>
        <w:pStyle w:val="4"/>
        <w:widowControl/>
        <w:spacing w:before="0" w:beforeAutospacing="0" w:after="0" w:afterAutospacing="0" w:line="450" w:lineRule="atLeast"/>
        <w:ind w:firstLine="634"/>
        <w:rPr>
          <w:sz w:val="31"/>
          <w:szCs w:val="31"/>
        </w:rPr>
      </w:pPr>
    </w:p>
    <w:p>
      <w:pPr>
        <w:pStyle w:val="4"/>
        <w:widowControl/>
        <w:spacing w:before="0" w:beforeAutospacing="0" w:after="0" w:afterAutospacing="0" w:line="763" w:lineRule="atLeast"/>
        <w:rPr>
          <w:sz w:val="31"/>
          <w:szCs w:val="31"/>
        </w:rPr>
      </w:pPr>
    </w:p>
    <w:p/>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_GBK">
    <w:altName w:val="Arial Unicode MS"/>
    <w:panose1 w:val="02000000000000000000"/>
    <w:charset w:val="86"/>
    <w:family w:val="auto"/>
    <w:pitch w:val="default"/>
    <w:sig w:usb0="00000001" w:usb1="08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swiss"/>
    <w:pitch w:val="default"/>
    <w:sig w:usb0="80000287" w:usb1="280F3C52" w:usb2="00000016" w:usb3="00000000" w:csb0="0004001F" w:csb1="00000000"/>
  </w:font>
  <w:font w:name="方正小标宋简体">
    <w:panose1 w:val="03000509000000000000"/>
    <w:charset w:val="86"/>
    <w:family w:val="script"/>
    <w:pitch w:val="default"/>
    <w:sig w:usb0="00000001" w:usb1="080E0000" w:usb2="00000000" w:usb3="00000000" w:csb0="00040000" w:csb1="00000000"/>
  </w:font>
  <w:font w:name="方正小标宋_GBK">
    <w:altName w:val="Arial Unicode MS"/>
    <w:panose1 w:val="03000509000000000000"/>
    <w:charset w:val="86"/>
    <w:family w:val="auto"/>
    <w:pitch w:val="default"/>
    <w:sig w:usb0="00000001" w:usb1="080E0000" w:usb2="00000000" w:usb3="00000000" w:csb0="00040000" w:csb1="00000000"/>
  </w:font>
  <w:font w:name="方正楷体_GBK">
    <w:altName w:val="Arial Unicode MS"/>
    <w:panose1 w:val="02000000000000000000"/>
    <w:charset w:val="86"/>
    <w:family w:val="auto"/>
    <w:pitch w:val="default"/>
    <w:sig w:usb0="00000001" w:usb1="08000000" w:usb2="00000000" w:usb3="00000000" w:csb0="00040000" w:csb1="00000000"/>
  </w:font>
  <w:font w:name="方正仿宋_GBK">
    <w:altName w:val="Arial Unicode MS"/>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3"/>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M6pebnPAAAABQEAAA8AAAAAAAAAAQAgAAAAIgAAAGRycy9kb3ducmV2&#10;LnhtbFBLAQIUABQAAAAIAIdO4kAXSZTlzAEAAKcDAAAOAAAAAAAAAAEAIAAAAB4BAABkcnMvZTJv&#10;RG9jLnhtbFBLBQYAAAAABgAGAFkBAABcBQAAAAA=&#10;">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3F75F06"/>
    <w:multiLevelType w:val="singleLevel"/>
    <w:tmpl w:val="F3F75F06"/>
    <w:lvl w:ilvl="0" w:tentative="0">
      <w:start w:val="2"/>
      <w:numFmt w:val="chineseCounting"/>
      <w:suff w:val="nothing"/>
      <w:lvlText w:val="（%1）"/>
      <w:lvlJc w:val="left"/>
      <w:rPr>
        <w:rFonts w:hint="eastAsia"/>
      </w:rPr>
    </w:lvl>
  </w:abstractNum>
  <w:abstractNum w:abstractNumId="1">
    <w:nsid w:val="77FDC3DB"/>
    <w:multiLevelType w:val="singleLevel"/>
    <w:tmpl w:val="77FDC3DB"/>
    <w:lvl w:ilvl="0" w:tentative="0">
      <w:start w:val="1"/>
      <w:numFmt w:val="chineseCounting"/>
      <w:lvlText w:val="(%1)"/>
      <w:lvlJc w:val="left"/>
      <w:pPr>
        <w:tabs>
          <w:tab w:val="left" w:pos="312"/>
        </w:tabs>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9D5678C"/>
    <w:rsid w:val="3F8F2AA6"/>
    <w:rsid w:val="F9D5678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Style w:val="5"/>
      <w:tblCellMar>
        <w:top w:w="0" w:type="dxa"/>
        <w:left w:w="108" w:type="dxa"/>
        <w:bottom w:w="0" w:type="dxa"/>
        <w:right w:w="108" w:type="dxa"/>
      </w:tblCellMar>
    </w:tblPr>
  </w:style>
  <w:style w:type="paragraph" w:styleId="2">
    <w:name w:val="Body Text"/>
    <w:basedOn w:val="1"/>
    <w:unhideWhenUsed/>
    <w:qFormat/>
    <w:uiPriority w:val="99"/>
    <w:pPr>
      <w:spacing w:after="120"/>
    </w:p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7">
    <w:name w:val="Hyperlink"/>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24</Pages>
  <Words>24687</Words>
  <Characters>24768</Characters>
  <Lines>0</Lines>
  <Paragraphs>0</Paragraphs>
  <TotalTime>0</TotalTime>
  <ScaleCrop>false</ScaleCrop>
  <LinksUpToDate>false</LinksUpToDate>
  <CharactersWithSpaces>24823</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2022-11-08T10:53:00Z</dcterms:created>
  <dc:creator>greatwall</dc:creator>
  <cp:lastModifiedBy>Administrator</cp:lastModifiedBy>
  <dcterms:modified xsi:type="dcterms:W3CDTF">2022-11-08T09:19:55Z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E3EFAFDAEF2640C4BF33557F33957F37</vt:lpwstr>
  </property>
</Properties>
</file>