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79088DD">
      <w:pPr>
        <w:spacing w:line="360" w:lineRule="auto"/>
        <w:jc w:val="center"/>
        <w:rPr>
          <w:rFonts w:hint="eastAsia" w:ascii="方正小标宋简体" w:hAnsi="宋体" w:eastAsia="方正小标宋简体" w:cs="Tahoma"/>
          <w:kern w:val="0"/>
          <w:sz w:val="36"/>
          <w:szCs w:val="36"/>
        </w:rPr>
      </w:pPr>
      <w:bookmarkStart w:id="6" w:name="_GoBack"/>
      <w:bookmarkEnd w:id="6"/>
      <w:r>
        <w:rPr>
          <w:rFonts w:hint="eastAsia" w:ascii="方正小标宋简体" w:hAnsi="宋体" w:eastAsia="方正小标宋简体" w:cs="Tahoma"/>
          <w:kern w:val="0"/>
          <w:sz w:val="36"/>
          <w:szCs w:val="36"/>
        </w:rPr>
        <w:t>《</w:t>
      </w:r>
      <w:r>
        <w:rPr>
          <w:rFonts w:hint="eastAsia" w:ascii="方正小标宋简体" w:hAnsi="宋体" w:eastAsia="方正小标宋简体" w:cs="Tahoma"/>
          <w:kern w:val="0"/>
          <w:sz w:val="36"/>
          <w:szCs w:val="36"/>
          <w:lang w:eastAsia="zh-CN"/>
        </w:rPr>
        <w:t>草鱼池塘</w:t>
      </w:r>
      <w:r>
        <w:rPr>
          <w:rFonts w:hint="eastAsia" w:ascii="方正小标宋简体" w:hAnsi="宋体" w:eastAsia="方正小标宋简体" w:cs="Tahoma"/>
          <w:kern w:val="0"/>
          <w:sz w:val="36"/>
          <w:szCs w:val="36"/>
        </w:rPr>
        <w:t>养殖技术规程》编制说明</w:t>
      </w:r>
    </w:p>
    <w:p w14:paraId="75C77820">
      <w:pPr>
        <w:pStyle w:val="4"/>
        <w:spacing w:line="360" w:lineRule="auto"/>
        <w:ind w:firstLine="645"/>
        <w:jc w:val="center"/>
        <w:rPr>
          <w:rFonts w:hint="eastAsia" w:ascii="楷体" w:hAnsi="楷体" w:eastAsia="楷体" w:cs="楷体"/>
          <w:bCs/>
          <w:sz w:val="32"/>
          <w:szCs w:val="32"/>
        </w:rPr>
      </w:pPr>
      <w:r>
        <w:rPr>
          <w:rFonts w:hint="eastAsia" w:ascii="楷体" w:hAnsi="楷体" w:eastAsia="楷体" w:cs="楷体"/>
          <w:bCs/>
          <w:sz w:val="32"/>
          <w:szCs w:val="32"/>
        </w:rPr>
        <w:t>（</w:t>
      </w:r>
      <w:r>
        <w:rPr>
          <w:rFonts w:hint="eastAsia" w:ascii="楷体" w:hAnsi="楷体" w:eastAsia="楷体" w:cs="楷体"/>
          <w:bCs/>
          <w:sz w:val="32"/>
          <w:szCs w:val="32"/>
          <w:lang w:eastAsia="zh-CN"/>
        </w:rPr>
        <w:t>征求意见稿</w:t>
      </w:r>
      <w:r>
        <w:rPr>
          <w:rFonts w:hint="eastAsia" w:ascii="楷体" w:hAnsi="楷体" w:eastAsia="楷体" w:cs="楷体"/>
          <w:bCs/>
          <w:sz w:val="32"/>
          <w:szCs w:val="32"/>
        </w:rPr>
        <w:t>）</w:t>
      </w:r>
    </w:p>
    <w:p w14:paraId="5E7E5499">
      <w:pPr>
        <w:spacing w:line="360" w:lineRule="auto"/>
        <w:jc w:val="center"/>
        <w:rPr>
          <w:rFonts w:hint="eastAsia" w:ascii="方正小标宋_GBK" w:hAnsi="方正小标宋_GBK" w:eastAsia="方正小标宋_GBK" w:cs="方正小标宋_GBK"/>
          <w:sz w:val="44"/>
          <w:szCs w:val="44"/>
        </w:rPr>
      </w:pPr>
    </w:p>
    <w:p w14:paraId="717884E0">
      <w:pPr>
        <w:widowControl w:val="0"/>
        <w:spacing w:line="360" w:lineRule="auto"/>
        <w:ind w:firstLine="645"/>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一、工作简况，包括地方标准制修订项目的立项情况、提出单位、归口单位、起草单位和起草人等</w:t>
      </w:r>
    </w:p>
    <w:p w14:paraId="25E6B6AF">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lang w:val="en-US" w:eastAsia="zh-CN"/>
        </w:rPr>
        <w:t>（一）</w:t>
      </w:r>
      <w:r>
        <w:rPr>
          <w:rFonts w:hint="eastAsia" w:ascii="楷体_GB2312" w:hAnsi="楷体_GB2312" w:eastAsia="楷体_GB2312" w:cs="楷体_GB2312"/>
          <w:sz w:val="28"/>
          <w:szCs w:val="28"/>
          <w:lang w:eastAsia="zh-CN"/>
        </w:rPr>
        <w:t>立项情况</w:t>
      </w:r>
    </w:p>
    <w:p w14:paraId="1D359D16">
      <w:pPr>
        <w:keepNext w:val="0"/>
        <w:keepLines w:val="0"/>
        <w:pageBreakBefore w:val="0"/>
        <w:numPr>
          <w:ilvl w:val="0"/>
          <w:numId w:val="0"/>
        </w:numPr>
        <w:kinsoku/>
        <w:wordWrap/>
        <w:overflowPunct/>
        <w:topLinePunct w:val="0"/>
        <w:bidi w:val="0"/>
        <w:spacing w:line="360" w:lineRule="auto"/>
        <w:ind w:firstLine="560" w:firstLineChars="200"/>
        <w:textAlignment w:val="auto"/>
        <w:rPr>
          <w:rFonts w:hint="default" w:ascii="宋体" w:hAnsi="宋体" w:eastAsia="宋体" w:cs="宋体"/>
          <w:sz w:val="24"/>
          <w:szCs w:val="24"/>
          <w:lang w:val="en-US" w:eastAsia="zh-CN"/>
        </w:rPr>
      </w:pPr>
      <w:r>
        <w:rPr>
          <w:rFonts w:hint="eastAsia" w:ascii="仿宋_GB2312" w:eastAsia="仿宋_GB2312"/>
          <w:sz w:val="28"/>
          <w:szCs w:val="28"/>
        </w:rPr>
        <w:t>《鄂尔多斯市</w:t>
      </w:r>
      <w:r>
        <w:rPr>
          <w:rFonts w:hint="eastAsia" w:ascii="仿宋_GB2312" w:eastAsia="仿宋_GB2312"/>
          <w:sz w:val="28"/>
          <w:szCs w:val="28"/>
          <w:lang w:eastAsia="zh-CN"/>
        </w:rPr>
        <w:t>市场监督管理</w:t>
      </w:r>
      <w:r>
        <w:rPr>
          <w:rFonts w:hint="eastAsia" w:ascii="仿宋_GB2312" w:eastAsia="仿宋_GB2312"/>
          <w:sz w:val="28"/>
          <w:szCs w:val="28"/>
        </w:rPr>
        <w:t>局关于下达20</w:t>
      </w:r>
      <w:r>
        <w:rPr>
          <w:rFonts w:hint="eastAsia" w:ascii="仿宋_GB2312" w:eastAsia="仿宋_GB2312"/>
          <w:sz w:val="28"/>
          <w:szCs w:val="28"/>
          <w:lang w:val="en-US" w:eastAsia="zh-CN"/>
        </w:rPr>
        <w:t>24</w:t>
      </w:r>
      <w:r>
        <w:rPr>
          <w:rFonts w:hint="eastAsia" w:ascii="仿宋_GB2312" w:eastAsia="仿宋_GB2312"/>
          <w:sz w:val="28"/>
          <w:szCs w:val="28"/>
        </w:rPr>
        <w:t>年第</w:t>
      </w:r>
      <w:r>
        <w:rPr>
          <w:rFonts w:hint="eastAsia" w:ascii="仿宋_GB2312" w:eastAsia="仿宋_GB2312"/>
          <w:sz w:val="28"/>
          <w:szCs w:val="28"/>
          <w:lang w:eastAsia="zh-CN"/>
        </w:rPr>
        <w:t>三</w:t>
      </w:r>
      <w:r>
        <w:rPr>
          <w:rFonts w:hint="eastAsia" w:ascii="仿宋_GB2312" w:eastAsia="仿宋_GB2312"/>
          <w:sz w:val="28"/>
          <w:szCs w:val="28"/>
        </w:rPr>
        <w:t>批鄂尔多斯市地方标准制修订项目计划的通知》（鄂质监函〔20</w:t>
      </w:r>
      <w:r>
        <w:rPr>
          <w:rFonts w:hint="eastAsia" w:ascii="仿宋_GB2312" w:eastAsia="仿宋_GB2312"/>
          <w:sz w:val="28"/>
          <w:szCs w:val="28"/>
          <w:lang w:val="en-US" w:eastAsia="zh-CN"/>
        </w:rPr>
        <w:t>24</w:t>
      </w:r>
      <w:r>
        <w:rPr>
          <w:rFonts w:hint="eastAsia" w:ascii="仿宋_GB2312" w:eastAsia="仿宋_GB2312"/>
          <w:sz w:val="28"/>
          <w:szCs w:val="28"/>
        </w:rPr>
        <w:t>〕</w:t>
      </w:r>
      <w:r>
        <w:rPr>
          <w:rFonts w:hint="eastAsia" w:ascii="仿宋_GB2312" w:eastAsia="仿宋_GB2312"/>
          <w:sz w:val="28"/>
          <w:szCs w:val="28"/>
          <w:lang w:val="en-US" w:eastAsia="zh-CN"/>
        </w:rPr>
        <w:t>4</w:t>
      </w:r>
      <w:r>
        <w:rPr>
          <w:rFonts w:hint="eastAsia" w:ascii="仿宋_GB2312" w:eastAsia="仿宋_GB2312"/>
          <w:sz w:val="28"/>
          <w:szCs w:val="28"/>
        </w:rPr>
        <w:t>2</w:t>
      </w:r>
      <w:r>
        <w:rPr>
          <w:rFonts w:hint="eastAsia" w:ascii="仿宋_GB2312" w:eastAsia="仿宋_GB2312"/>
          <w:sz w:val="28"/>
          <w:szCs w:val="28"/>
          <w:lang w:val="en-US" w:eastAsia="zh-CN"/>
        </w:rPr>
        <w:t>4</w:t>
      </w:r>
      <w:r>
        <w:rPr>
          <w:rFonts w:hint="eastAsia" w:ascii="仿宋_GB2312" w:eastAsia="仿宋_GB2312"/>
          <w:sz w:val="28"/>
          <w:szCs w:val="28"/>
        </w:rPr>
        <w:t>号）下达了</w:t>
      </w:r>
      <w:r>
        <w:rPr>
          <w:rFonts w:hint="eastAsia" w:ascii="仿宋_GB2312" w:eastAsia="仿宋_GB2312"/>
          <w:sz w:val="28"/>
          <w:szCs w:val="28"/>
          <w:lang w:eastAsia="zh-CN"/>
        </w:rPr>
        <w:t>鄂尔多斯市</w:t>
      </w:r>
      <w:r>
        <w:rPr>
          <w:rFonts w:hint="eastAsia" w:ascii="仿宋_GB2312" w:eastAsia="仿宋_GB2312"/>
          <w:sz w:val="28"/>
          <w:szCs w:val="28"/>
        </w:rPr>
        <w:t>地方标准《</w:t>
      </w:r>
      <w:r>
        <w:rPr>
          <w:rFonts w:hint="eastAsia" w:ascii="仿宋_GB2312" w:eastAsia="仿宋_GB2312"/>
          <w:sz w:val="28"/>
          <w:szCs w:val="28"/>
          <w:lang w:eastAsia="zh-CN"/>
        </w:rPr>
        <w:t>草鱼池塘</w:t>
      </w:r>
      <w:r>
        <w:rPr>
          <w:rFonts w:hint="eastAsia" w:ascii="仿宋_GB2312" w:eastAsia="仿宋_GB2312"/>
          <w:sz w:val="28"/>
          <w:szCs w:val="28"/>
        </w:rPr>
        <w:t>养殖技术规程》的制定任务</w:t>
      </w:r>
      <w:r>
        <w:rPr>
          <w:rFonts w:hint="eastAsia" w:ascii="仿宋_GB2312" w:eastAsia="仿宋_GB2312"/>
          <w:sz w:val="28"/>
          <w:szCs w:val="28"/>
          <w:lang w:eastAsia="zh-CN"/>
        </w:rPr>
        <w:t>。本标准由鄂尔多斯市农牧业标准化技术委员会提出并归口，由鄂尔多斯市农牧技术推广中心牵头，</w:t>
      </w:r>
      <w:r>
        <w:rPr>
          <w:rFonts w:hint="eastAsia" w:ascii="仿宋_GB2312" w:eastAsia="仿宋_GB2312"/>
          <w:sz w:val="28"/>
          <w:szCs w:val="28"/>
          <w:lang w:val="en-US" w:eastAsia="zh-CN"/>
        </w:rPr>
        <w:t>内蒙古自治区农牧业技术推广中心、鄂尔多斯市检验检测中心、</w:t>
      </w:r>
      <w:r>
        <w:rPr>
          <w:rFonts w:hint="eastAsia" w:ascii="仿宋_GB2312" w:eastAsia="仿宋_GB2312"/>
          <w:sz w:val="28"/>
          <w:szCs w:val="28"/>
          <w:lang w:eastAsia="zh-CN"/>
        </w:rPr>
        <w:t>鄂尔多斯市东胜区市场监管综合行政执法大队、鄂尔多斯市农畜产品质量安全中心等单位配合完成</w:t>
      </w:r>
      <w:r>
        <w:rPr>
          <w:rFonts w:hint="eastAsia" w:ascii="仿宋_GB2312" w:eastAsia="仿宋_GB2312"/>
          <w:sz w:val="28"/>
          <w:szCs w:val="28"/>
          <w:lang w:val="en-US" w:eastAsia="zh-CN"/>
        </w:rPr>
        <w:t>工作任务。</w:t>
      </w:r>
    </w:p>
    <w:p w14:paraId="26B43871">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楷体_GB2312" w:hAnsi="楷体_GB2312" w:eastAsia="楷体_GB2312" w:cs="楷体_GB2312"/>
          <w:sz w:val="28"/>
          <w:szCs w:val="28"/>
          <w:lang w:val="en-US" w:eastAsia="zh-CN"/>
        </w:rPr>
      </w:pPr>
      <w:r>
        <w:rPr>
          <w:rFonts w:hint="eastAsia" w:ascii="楷体_GB2312" w:hAnsi="楷体_GB2312" w:eastAsia="楷体_GB2312" w:cs="楷体_GB2312"/>
          <w:sz w:val="28"/>
          <w:szCs w:val="28"/>
          <w:lang w:val="en-US" w:eastAsia="zh-CN"/>
        </w:rPr>
        <w:t>（二）主要起草人员</w:t>
      </w:r>
    </w:p>
    <w:p w14:paraId="42E054BC">
      <w:pPr>
        <w:widowControl w:val="0"/>
        <w:spacing w:line="360" w:lineRule="auto"/>
        <w:ind w:firstLine="645"/>
        <w:jc w:val="both"/>
        <w:rPr>
          <w:rFonts w:hint="eastAsia" w:ascii="仿宋_GB2312" w:eastAsia="仿宋_GB2312"/>
          <w:sz w:val="28"/>
          <w:szCs w:val="28"/>
          <w:lang w:eastAsia="zh-CN"/>
        </w:rPr>
      </w:pPr>
      <w:r>
        <w:rPr>
          <w:rFonts w:hint="eastAsia" w:ascii="仿宋_GB2312" w:eastAsia="仿宋_GB2312"/>
          <w:sz w:val="28"/>
          <w:szCs w:val="28"/>
          <w:lang w:eastAsia="zh-CN"/>
        </w:rPr>
        <w:t>参与人员：张子军 吴桃 王浩 王婷 青格勒 马勇 刘星 冯伟业 邱鹏程 曹福中 任雅楠 边丽娜 张冬梅 高磊 魏立君 蔡珲 武蓉 郭晓春 郭媛媛 张家良 徐鑫 赵一杰 菅腾 陈浩然 韩剑钧 青克勒 石富 刘婷璐 孙凤舞 杨艳</w:t>
      </w:r>
      <w:r>
        <w:rPr>
          <w:rFonts w:hint="eastAsia" w:ascii="仿宋_GB2312" w:eastAsia="仿宋_GB2312"/>
          <w:sz w:val="28"/>
          <w:szCs w:val="28"/>
          <w:lang w:val="en-US" w:eastAsia="zh-CN"/>
        </w:rPr>
        <w:t xml:space="preserve"> </w:t>
      </w:r>
      <w:r>
        <w:rPr>
          <w:rFonts w:hint="eastAsia" w:ascii="仿宋_GB2312" w:eastAsia="仿宋_GB2312"/>
          <w:sz w:val="28"/>
          <w:szCs w:val="28"/>
          <w:lang w:eastAsia="zh-CN"/>
        </w:rPr>
        <w:t>石昊 李伟 刘佳瑶 郭彦清 斯琴 刘俊梅 李平 李刚 岳俊峰 贾振荣</w:t>
      </w:r>
    </w:p>
    <w:p w14:paraId="4AAD9872">
      <w:pPr>
        <w:widowControl w:val="0"/>
        <w:spacing w:line="360" w:lineRule="auto"/>
        <w:ind w:firstLine="645"/>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二、制定标准的目的和意义</w:t>
      </w:r>
    </w:p>
    <w:p w14:paraId="497E808D">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草鱼养殖在鄂尔多斯市广泛分布，但目前国家对于草鱼养殖的相关国标、行业标准等较少，内蒙古自治区和鄂尔多斯市更是没有相关草鱼养殖的技术标准，因此草鱼养殖技术标准的制定有利于指导相关从业人员和企业开展草鱼池塘养殖，进行科学操作，减少养殖户因操作或管理方式不当而引起损失，保障草鱼养殖成品的质量和产量，提升企业和养殖户的经济效益。同时也为行业主管部门和技术监督管理部门加强监管提供依据，促进草鱼养殖模式的普及和推广，完善草鱼养殖产业链，形成鄂尔多斯市渔业绿色高质量发展中具有活力、潜力和特色的产业。</w:t>
      </w:r>
    </w:p>
    <w:p w14:paraId="7D32C4FA">
      <w:pPr>
        <w:widowControl w:val="0"/>
        <w:spacing w:line="360" w:lineRule="auto"/>
        <w:ind w:firstLine="645"/>
        <w:jc w:val="both"/>
        <w:rPr>
          <w:rFonts w:hint="eastAsia" w:ascii="CESI黑体-GB2312" w:hAnsi="CESI黑体-GB2312" w:eastAsia="CESI黑体-GB2312" w:cs="CESI黑体-GB2312"/>
          <w:kern w:val="2"/>
          <w:sz w:val="32"/>
          <w:szCs w:val="32"/>
          <w:lang w:val="en-US" w:eastAsia="zh-CN" w:bidi="ar-SA"/>
        </w:rPr>
      </w:pPr>
      <w:r>
        <w:rPr>
          <w:rFonts w:hint="eastAsia" w:ascii="CESI黑体-GB2312" w:hAnsi="CESI黑体-GB2312" w:eastAsia="CESI黑体-GB2312" w:cs="CESI黑体-GB2312"/>
          <w:kern w:val="2"/>
          <w:sz w:val="32"/>
          <w:szCs w:val="32"/>
          <w:lang w:val="en-US" w:eastAsia="zh-CN" w:bidi="ar-SA"/>
        </w:rPr>
        <w:t>三、编制过程，包括分工情况、起草阶段、征求意见阶段、送审阶段、报批阶段等</w:t>
      </w:r>
    </w:p>
    <w:p w14:paraId="644B3EB4">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（一）起草阶段</w:t>
      </w:r>
    </w:p>
    <w:p w14:paraId="2670BFA7">
      <w:pPr>
        <w:spacing w:line="360" w:lineRule="auto"/>
        <w:ind w:firstLine="560" w:firstLineChars="200"/>
        <w:rPr>
          <w:rFonts w:hint="eastAsia" w:ascii="仿宋_GB2312" w:eastAsia="仿宋_GB2312"/>
          <w:sz w:val="28"/>
          <w:szCs w:val="28"/>
          <w:lang w:eastAsia="zh-CN"/>
        </w:rPr>
      </w:pPr>
      <w:r>
        <w:rPr>
          <w:rFonts w:hint="eastAsia" w:ascii="仿宋_GB2312" w:eastAsia="仿宋_GB2312"/>
          <w:sz w:val="28"/>
          <w:szCs w:val="28"/>
          <w:lang w:eastAsia="zh-CN"/>
        </w:rPr>
        <w:t>1</w:t>
      </w:r>
      <w:r>
        <w:rPr>
          <w:rFonts w:hint="eastAsia" w:ascii="仿宋_GB2312" w:eastAsia="仿宋_GB2312"/>
          <w:sz w:val="28"/>
          <w:szCs w:val="28"/>
          <w:lang w:val="en-US" w:eastAsia="zh-CN"/>
        </w:rPr>
        <w:t>.</w:t>
      </w:r>
      <w:r>
        <w:rPr>
          <w:rFonts w:hint="eastAsia" w:ascii="仿宋_GB2312" w:eastAsia="仿宋_GB2312"/>
          <w:sz w:val="28"/>
          <w:szCs w:val="28"/>
          <w:lang w:eastAsia="zh-CN"/>
        </w:rPr>
        <w:t>项目启动，成立标准起草工作组。项目承担单位鄂尔多斯市农牧技术推广中心，组织</w:t>
      </w:r>
      <w:r>
        <w:rPr>
          <w:rFonts w:hint="eastAsia" w:ascii="仿宋_GB2312" w:eastAsia="仿宋_GB2312"/>
          <w:sz w:val="28"/>
          <w:szCs w:val="28"/>
          <w:lang w:val="en-US" w:eastAsia="zh-CN"/>
        </w:rPr>
        <w:t>内蒙古自治区农牧业技术推广中心、鄂尔多斯市检验检测中心、</w:t>
      </w:r>
      <w:r>
        <w:rPr>
          <w:rFonts w:hint="eastAsia" w:ascii="仿宋_GB2312" w:eastAsia="仿宋_GB2312"/>
          <w:sz w:val="28"/>
          <w:szCs w:val="28"/>
          <w:lang w:eastAsia="zh-CN"/>
        </w:rPr>
        <w:t>鄂尔多斯市东胜区市场监管综合行政执法大队、鄂尔多斯市农畜产品质量安全中心及各地区农牧技术推广部门，成立标准起草工作组。制定标准工作计划，明确参加起草单位和人员及其职责分工，研讨标准框架和提纲，确定标准编制工作在自立项文件下达时算起</w:t>
      </w:r>
      <w:r>
        <w:rPr>
          <w:rFonts w:hint="eastAsia" w:ascii="仿宋_GB2312" w:eastAsia="仿宋_GB2312"/>
          <w:sz w:val="28"/>
          <w:szCs w:val="28"/>
          <w:lang w:val="en-US" w:eastAsia="zh-CN"/>
        </w:rPr>
        <w:t>18个月内完成标准制定工作。</w:t>
      </w:r>
    </w:p>
    <w:p w14:paraId="3E5DB93D">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eastAsia="zh-CN"/>
        </w:rPr>
      </w:pPr>
      <w:r>
        <w:rPr>
          <w:rFonts w:hint="eastAsia" w:ascii="仿宋_GB2312" w:eastAsia="仿宋_GB2312"/>
          <w:sz w:val="28"/>
          <w:szCs w:val="28"/>
          <w:lang w:val="en-US" w:eastAsia="zh-CN"/>
        </w:rPr>
        <w:t>2.</w:t>
      </w:r>
      <w:r>
        <w:rPr>
          <w:rFonts w:hint="eastAsia" w:ascii="仿宋_GB2312" w:eastAsia="仿宋_GB2312"/>
          <w:sz w:val="28"/>
          <w:szCs w:val="28"/>
          <w:lang w:eastAsia="zh-CN"/>
        </w:rPr>
        <w:t>本标准通过科技项目的实施，以及调研、查阅资料收集材料形成讨论稿。起草小组收集了国内现有草鱼相关的国家标准和行业标准共计</w:t>
      </w:r>
      <w:r>
        <w:rPr>
          <w:rFonts w:hint="eastAsia" w:ascii="仿宋_GB2312" w:eastAsia="仿宋_GB2312"/>
          <w:sz w:val="28"/>
          <w:szCs w:val="28"/>
          <w:lang w:val="en-US" w:eastAsia="zh-CN"/>
        </w:rPr>
        <w:t>10多</w:t>
      </w:r>
      <w:r>
        <w:rPr>
          <w:rFonts w:hint="eastAsia" w:ascii="仿宋_GB2312" w:eastAsia="仿宋_GB2312"/>
          <w:sz w:val="28"/>
          <w:szCs w:val="28"/>
          <w:lang w:eastAsia="zh-CN"/>
        </w:rPr>
        <w:t>个（详见附件），并进行了深入细致的研究。结合标准制定牵头单位鄂尔多斯市农牧技术推广中心承担的科技项目（</w:t>
      </w:r>
      <w:r>
        <w:rPr>
          <w:rFonts w:hint="eastAsia" w:ascii="仿宋_GB2312" w:eastAsia="仿宋_GB2312"/>
          <w:b/>
          <w:bCs/>
          <w:sz w:val="28"/>
          <w:szCs w:val="28"/>
          <w:lang w:val="en-US" w:eastAsia="zh-CN"/>
        </w:rPr>
        <w:t>2022年鄂尔多斯市科技局立项的</w:t>
      </w:r>
      <w:r>
        <w:rPr>
          <w:rFonts w:hint="eastAsia" w:ascii="仿宋_GB2312" w:eastAsia="仿宋_GB2312"/>
          <w:b/>
          <w:bCs/>
          <w:sz w:val="28"/>
          <w:szCs w:val="28"/>
          <w:lang w:eastAsia="zh-CN"/>
        </w:rPr>
        <w:t>鄂尔多斯市科技成果转化项目《鲤鱼、草鱼两项地方标准制定》（项目编号：2022CG003），下文简称：科技项目</w:t>
      </w:r>
      <w:r>
        <w:rPr>
          <w:rFonts w:hint="eastAsia" w:ascii="仿宋_GB2312" w:eastAsia="仿宋_GB2312"/>
          <w:sz w:val="28"/>
          <w:szCs w:val="28"/>
          <w:lang w:eastAsia="zh-CN"/>
        </w:rPr>
        <w:t>）的研究成果，以及多年来参与标准制定人员的生产经验和调研结果，工作组按照GB/T 1.1—2020《标准化工作导则 第1部分：标准化文件的结构和起草规则》要求，工作组对标准的范围、主要技术指标等内容进行了讨论，确定了标准的主要技术内容，形成标准文本及其编制说明。</w:t>
      </w:r>
    </w:p>
    <w:p w14:paraId="7AEF1807">
      <w:pPr>
        <w:spacing w:line="360" w:lineRule="auto"/>
        <w:ind w:firstLine="560" w:firstLineChars="200"/>
        <w:rPr>
          <w:rFonts w:hint="eastAsia" w:ascii="仿宋_GB2312" w:hAnsi="Courier New" w:eastAsia="仿宋_GB2312" w:cs="Times New Roman"/>
          <w:kern w:val="2"/>
          <w:sz w:val="32"/>
          <w:szCs w:val="32"/>
          <w:lang w:val="en-US" w:eastAsia="zh-CN" w:bidi="ar-SA"/>
        </w:rPr>
      </w:pPr>
      <w:r>
        <w:rPr>
          <w:rFonts w:hint="eastAsia" w:ascii="仿宋_GB2312" w:eastAsia="仿宋_GB2312"/>
          <w:sz w:val="28"/>
          <w:szCs w:val="28"/>
          <w:lang w:val="en-US" w:eastAsia="zh-CN"/>
        </w:rPr>
        <w:t>3.</w:t>
      </w:r>
      <w:r>
        <w:rPr>
          <w:rFonts w:hint="eastAsia" w:ascii="仿宋_GB2312" w:eastAsia="仿宋_GB2312"/>
          <w:sz w:val="28"/>
          <w:szCs w:val="28"/>
          <w:lang w:eastAsia="zh-CN"/>
        </w:rPr>
        <w:t>本标准部分技术内容依托“科技项目”进行收集和论证。同时，通过《鲤鱼、草鱼两项地方标准制定》过程中的实地调研，咨询国内相关专家，交流标准技术要点，修改标准讨论稿，形成征求意见稿。</w:t>
      </w:r>
    </w:p>
    <w:p w14:paraId="14A4ACE0">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（二）分工情况</w:t>
      </w:r>
      <w:bookmarkStart w:id="0" w:name="_Hlk180424172"/>
    </w:p>
    <w:p w14:paraId="5F2DDE0C">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标准起草组人员分工，如表所示。</w:t>
      </w:r>
    </w:p>
    <w:p w14:paraId="11E05B77">
      <w:pPr>
        <w:adjustRightInd w:val="0"/>
        <w:snapToGrid w:val="0"/>
        <w:spacing w:line="360" w:lineRule="auto"/>
        <w:ind w:left="63" w:leftChars="30" w:right="115" w:rightChars="55" w:firstLine="488"/>
        <w:jc w:val="center"/>
        <w:rPr>
          <w:rFonts w:ascii="宋体" w:hAnsi="宋体" w:eastAsia="宋体"/>
          <w:b/>
          <w:sz w:val="24"/>
        </w:rPr>
      </w:pPr>
    </w:p>
    <w:p w14:paraId="20064ED8">
      <w:pPr>
        <w:adjustRightInd w:val="0"/>
        <w:snapToGrid w:val="0"/>
        <w:spacing w:line="360" w:lineRule="auto"/>
        <w:ind w:left="63" w:leftChars="30" w:right="115" w:rightChars="55" w:firstLine="488"/>
        <w:jc w:val="center"/>
        <w:rPr>
          <w:rFonts w:hint="eastAsia"/>
          <w:lang w:val="en-US" w:eastAsia="zh-CN"/>
        </w:rPr>
      </w:pPr>
      <w:r>
        <w:rPr>
          <w:rFonts w:ascii="宋体" w:hAnsi="宋体" w:eastAsia="宋体"/>
          <w:b/>
          <w:sz w:val="24"/>
        </w:rPr>
        <w:t>表1 标准起草人员名单</w:t>
      </w:r>
      <w:bookmarkEnd w:id="0"/>
    </w:p>
    <w:tbl>
      <w:tblPr>
        <w:tblStyle w:val="5"/>
        <w:tblW w:w="81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2228"/>
        <w:gridCol w:w="4692"/>
      </w:tblGrid>
      <w:tr w14:paraId="6EB300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2E010100">
            <w:pPr>
              <w:snapToGrid w:val="0"/>
              <w:spacing w:line="240" w:lineRule="auto"/>
              <w:jc w:val="center"/>
              <w:rPr>
                <w:rFonts w:ascii="宋体" w:hAnsi="宋体"/>
                <w:b/>
                <w:color w:val="000000"/>
                <w:szCs w:val="21"/>
              </w:rPr>
            </w:pPr>
            <w:r>
              <w:rPr>
                <w:rFonts w:hint="eastAsia" w:ascii="宋体" w:hAnsi="宋体"/>
                <w:b/>
                <w:color w:val="000000"/>
                <w:szCs w:val="21"/>
              </w:rPr>
              <w:t>姓  名</w:t>
            </w:r>
          </w:p>
        </w:tc>
        <w:tc>
          <w:tcPr>
            <w:tcW w:w="2228" w:type="dxa"/>
            <w:noWrap w:val="0"/>
            <w:vAlign w:val="center"/>
          </w:tcPr>
          <w:p w14:paraId="441D1975">
            <w:pPr>
              <w:snapToGrid w:val="0"/>
              <w:spacing w:line="240" w:lineRule="auto"/>
              <w:jc w:val="center"/>
              <w:rPr>
                <w:rFonts w:ascii="宋体" w:hAnsi="宋体"/>
                <w:b/>
                <w:color w:val="000000"/>
                <w:szCs w:val="21"/>
              </w:rPr>
            </w:pPr>
            <w:r>
              <w:rPr>
                <w:rFonts w:hint="eastAsia" w:ascii="宋体" w:hAnsi="宋体"/>
                <w:b/>
                <w:color w:val="000000"/>
                <w:szCs w:val="21"/>
              </w:rPr>
              <w:t>所在单位</w:t>
            </w:r>
          </w:p>
        </w:tc>
        <w:tc>
          <w:tcPr>
            <w:tcW w:w="4692" w:type="dxa"/>
            <w:noWrap w:val="0"/>
            <w:vAlign w:val="center"/>
          </w:tcPr>
          <w:p w14:paraId="54CCB0BA">
            <w:pPr>
              <w:snapToGrid w:val="0"/>
              <w:spacing w:line="240" w:lineRule="auto"/>
              <w:jc w:val="center"/>
              <w:rPr>
                <w:rFonts w:ascii="宋体" w:hAnsi="宋体"/>
                <w:b/>
                <w:color w:val="000000"/>
                <w:szCs w:val="21"/>
              </w:rPr>
            </w:pPr>
            <w:r>
              <w:rPr>
                <w:rFonts w:hint="eastAsia" w:ascii="宋体" w:hAnsi="宋体"/>
                <w:b/>
                <w:color w:val="000000"/>
                <w:szCs w:val="21"/>
              </w:rPr>
              <w:t>承担任务</w:t>
            </w:r>
          </w:p>
        </w:tc>
      </w:tr>
      <w:tr w14:paraId="1BF07C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61BD79CF">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张子军</w:t>
            </w:r>
          </w:p>
        </w:tc>
        <w:tc>
          <w:tcPr>
            <w:tcW w:w="2228" w:type="dxa"/>
            <w:noWrap w:val="0"/>
            <w:vAlign w:val="center"/>
          </w:tcPr>
          <w:p w14:paraId="5DD03929">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79EE2F08">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标准起草负责人，负责标准修订的组织、实施和编写工作</w:t>
            </w:r>
          </w:p>
        </w:tc>
      </w:tr>
      <w:tr w14:paraId="0FB40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189" w:type="dxa"/>
            <w:noWrap w:val="0"/>
            <w:vAlign w:val="center"/>
          </w:tcPr>
          <w:p w14:paraId="3381881D">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吴桃</w:t>
            </w:r>
          </w:p>
        </w:tc>
        <w:tc>
          <w:tcPr>
            <w:tcW w:w="2228" w:type="dxa"/>
            <w:noWrap w:val="0"/>
            <w:vAlign w:val="center"/>
          </w:tcPr>
          <w:p w14:paraId="467E8581">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055F660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确定技术参数，负责起草标准</w:t>
            </w:r>
            <w:r>
              <w:rPr>
                <w:rFonts w:hint="eastAsia" w:ascii="仿宋_GB2312" w:hAnsi="仿宋_GB2312" w:eastAsia="仿宋_GB2312" w:cs="仿宋_GB2312"/>
                <w:sz w:val="21"/>
                <w:szCs w:val="21"/>
                <w:lang w:eastAsia="zh-CN"/>
              </w:rPr>
              <w:t>文本及</w:t>
            </w:r>
            <w:r>
              <w:rPr>
                <w:rFonts w:hint="eastAsia" w:ascii="仿宋_GB2312" w:hAnsi="仿宋_GB2312" w:eastAsia="仿宋_GB2312" w:cs="仿宋_GB2312"/>
                <w:sz w:val="21"/>
                <w:szCs w:val="21"/>
              </w:rPr>
              <w:t>编制说明</w:t>
            </w:r>
          </w:p>
        </w:tc>
      </w:tr>
      <w:tr w14:paraId="435601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24A96A35">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王浩</w:t>
            </w:r>
          </w:p>
        </w:tc>
        <w:tc>
          <w:tcPr>
            <w:tcW w:w="2228" w:type="dxa"/>
            <w:noWrap w:val="0"/>
            <w:vAlign w:val="center"/>
          </w:tcPr>
          <w:p w14:paraId="2FE2CB7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26AC1D1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本标准依托的科技项目实施，</w:t>
            </w:r>
            <w:r>
              <w:rPr>
                <w:rFonts w:hint="eastAsia" w:ascii="仿宋_GB2312" w:hAnsi="仿宋_GB2312" w:eastAsia="仿宋_GB2312" w:cs="仿宋_GB2312"/>
                <w:sz w:val="21"/>
                <w:szCs w:val="21"/>
              </w:rPr>
              <w:t>负责收集资料和标准草案的起草</w:t>
            </w:r>
          </w:p>
        </w:tc>
      </w:tr>
      <w:tr w14:paraId="5FFF7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6FE64A69">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王婷</w:t>
            </w:r>
          </w:p>
        </w:tc>
        <w:tc>
          <w:tcPr>
            <w:tcW w:w="2228" w:type="dxa"/>
            <w:noWrap w:val="0"/>
            <w:vAlign w:val="center"/>
          </w:tcPr>
          <w:p w14:paraId="0508ED89">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7D4FBC4D">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标准相关材料的编写，起草标准文本及编制说明</w:t>
            </w:r>
          </w:p>
        </w:tc>
      </w:tr>
      <w:tr w14:paraId="22ADDB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78694E9E">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青格勒</w:t>
            </w:r>
          </w:p>
        </w:tc>
        <w:tc>
          <w:tcPr>
            <w:tcW w:w="2228" w:type="dxa"/>
            <w:noWrap w:val="0"/>
            <w:vAlign w:val="center"/>
          </w:tcPr>
          <w:p w14:paraId="533C9E68">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743BF09">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参与本标准依托的科技项目实施，共同确定技术参数</w:t>
            </w:r>
          </w:p>
        </w:tc>
      </w:tr>
      <w:tr w14:paraId="42A45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9" w:hRule="atLeast"/>
          <w:jc w:val="center"/>
        </w:trPr>
        <w:tc>
          <w:tcPr>
            <w:tcW w:w="1189" w:type="dxa"/>
            <w:noWrap w:val="0"/>
            <w:vAlign w:val="center"/>
          </w:tcPr>
          <w:p w14:paraId="2B014F45">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马勇</w:t>
            </w:r>
          </w:p>
        </w:tc>
        <w:tc>
          <w:tcPr>
            <w:tcW w:w="2228" w:type="dxa"/>
            <w:noWrap w:val="0"/>
            <w:vAlign w:val="center"/>
          </w:tcPr>
          <w:p w14:paraId="4CDE09C9">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78EBB7E5">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作为鄂尔多斯市农牧业标准化委员会主任，对标准整体工作进行指导</w:t>
            </w:r>
          </w:p>
        </w:tc>
      </w:tr>
      <w:tr w14:paraId="70A207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C895FA8">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刘星</w:t>
            </w:r>
          </w:p>
        </w:tc>
        <w:tc>
          <w:tcPr>
            <w:tcW w:w="2228" w:type="dxa"/>
            <w:noWrap w:val="0"/>
            <w:vAlign w:val="center"/>
          </w:tcPr>
          <w:p w14:paraId="59F899A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20D1175C">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组织收集资料、市场调研</w:t>
            </w:r>
          </w:p>
        </w:tc>
      </w:tr>
      <w:tr w14:paraId="436E9C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07EDCFB">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冯伟业</w:t>
            </w:r>
          </w:p>
        </w:tc>
        <w:tc>
          <w:tcPr>
            <w:tcW w:w="2228" w:type="dxa"/>
            <w:noWrap w:val="0"/>
            <w:vAlign w:val="center"/>
          </w:tcPr>
          <w:p w14:paraId="659EF591">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内蒙古自治区农牧业技术推广中心</w:t>
            </w:r>
          </w:p>
        </w:tc>
        <w:tc>
          <w:tcPr>
            <w:tcW w:w="4692" w:type="dxa"/>
            <w:noWrap w:val="0"/>
            <w:vAlign w:val="center"/>
          </w:tcPr>
          <w:p w14:paraId="3637C8CF">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rPr>
              <w:t>确定技术参数，</w:t>
            </w:r>
            <w:r>
              <w:rPr>
                <w:rFonts w:hint="eastAsia" w:ascii="仿宋_GB2312" w:hAnsi="仿宋_GB2312" w:eastAsia="仿宋_GB2312" w:cs="仿宋_GB2312"/>
                <w:sz w:val="21"/>
                <w:szCs w:val="21"/>
                <w:lang w:eastAsia="zh-CN"/>
              </w:rPr>
              <w:t>指导标准编写</w:t>
            </w:r>
          </w:p>
        </w:tc>
      </w:tr>
      <w:tr w14:paraId="2E3CC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ED5518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邱鹏程</w:t>
            </w:r>
          </w:p>
        </w:tc>
        <w:tc>
          <w:tcPr>
            <w:tcW w:w="2228" w:type="dxa"/>
            <w:noWrap w:val="0"/>
            <w:vAlign w:val="center"/>
          </w:tcPr>
          <w:p w14:paraId="635BB251">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006094DB">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作为作为鄂尔多斯市农牧业标准化委员会副主任，组织水样和样品的检测工作</w:t>
            </w:r>
          </w:p>
        </w:tc>
      </w:tr>
      <w:tr w14:paraId="293042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D8C0385">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曹福中</w:t>
            </w:r>
          </w:p>
        </w:tc>
        <w:tc>
          <w:tcPr>
            <w:tcW w:w="2228" w:type="dxa"/>
            <w:noWrap w:val="0"/>
            <w:vAlign w:val="center"/>
          </w:tcPr>
          <w:p w14:paraId="661F4FE0">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868212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作为鄂尔多斯市农牧业标准化委员会副主任，对标准相关技术工作进行指导</w:t>
            </w:r>
          </w:p>
        </w:tc>
      </w:tr>
      <w:tr w14:paraId="5BAD55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1054C82">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任雅楠</w:t>
            </w:r>
          </w:p>
        </w:tc>
        <w:tc>
          <w:tcPr>
            <w:tcW w:w="2228" w:type="dxa"/>
            <w:noWrap w:val="0"/>
            <w:vAlign w:val="center"/>
          </w:tcPr>
          <w:p w14:paraId="1E9605A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鄂尔多斯市东胜区市场监管综合行政执法大队</w:t>
            </w:r>
          </w:p>
        </w:tc>
        <w:tc>
          <w:tcPr>
            <w:tcW w:w="4692" w:type="dxa"/>
            <w:noWrap w:val="0"/>
            <w:vAlign w:val="center"/>
          </w:tcPr>
          <w:p w14:paraId="7C13E1C2">
            <w:pPr>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作为鄂尔多斯市农牧业标准化委员会的成员，按照工作要求进行</w:t>
            </w:r>
            <w:r>
              <w:rPr>
                <w:rFonts w:hint="eastAsia" w:ascii="仿宋_GB2312" w:hAnsi="仿宋_GB2312" w:eastAsia="仿宋_GB2312" w:cs="仿宋_GB2312"/>
                <w:sz w:val="21"/>
                <w:szCs w:val="21"/>
              </w:rPr>
              <w:t>样品检测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组织收集资料和样品</w:t>
            </w:r>
          </w:p>
        </w:tc>
      </w:tr>
      <w:tr w14:paraId="5DA30C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9E79229">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边丽娜</w:t>
            </w:r>
          </w:p>
        </w:tc>
        <w:tc>
          <w:tcPr>
            <w:tcW w:w="2228" w:type="dxa"/>
            <w:noWrap w:val="0"/>
            <w:vAlign w:val="center"/>
          </w:tcPr>
          <w:p w14:paraId="5769CE16">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val="en-US" w:eastAsia="zh-CN"/>
              </w:rPr>
              <w:t>鄂尔多斯市检验检测中心</w:t>
            </w:r>
          </w:p>
        </w:tc>
        <w:tc>
          <w:tcPr>
            <w:tcW w:w="4692" w:type="dxa"/>
            <w:noWrap w:val="0"/>
            <w:vAlign w:val="center"/>
          </w:tcPr>
          <w:p w14:paraId="6D04DB5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样品检测</w:t>
            </w:r>
            <w:r>
              <w:rPr>
                <w:rFonts w:hint="eastAsia" w:ascii="仿宋_GB2312" w:hAnsi="仿宋_GB2312" w:eastAsia="仿宋_GB2312" w:cs="仿宋_GB2312"/>
                <w:sz w:val="21"/>
                <w:szCs w:val="21"/>
                <w:lang w:eastAsia="zh-CN"/>
              </w:rPr>
              <w:t>，</w:t>
            </w:r>
            <w:r>
              <w:rPr>
                <w:rFonts w:hint="eastAsia" w:ascii="仿宋_GB2312" w:hAnsi="仿宋_GB2312" w:eastAsia="仿宋_GB2312" w:cs="仿宋_GB2312"/>
                <w:sz w:val="21"/>
                <w:szCs w:val="21"/>
              </w:rPr>
              <w:t>标准编写格式的指导</w:t>
            </w:r>
          </w:p>
        </w:tc>
      </w:tr>
      <w:tr w14:paraId="537CD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3A7F2CE">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张冬梅</w:t>
            </w:r>
          </w:p>
        </w:tc>
        <w:tc>
          <w:tcPr>
            <w:tcW w:w="2228" w:type="dxa"/>
            <w:noWrap w:val="0"/>
            <w:vAlign w:val="center"/>
          </w:tcPr>
          <w:p w14:paraId="3299562F">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3B27129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收集资料和调研</w:t>
            </w:r>
          </w:p>
        </w:tc>
      </w:tr>
      <w:tr w14:paraId="23DA3B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9F9ACA8">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高磊</w:t>
            </w:r>
          </w:p>
        </w:tc>
        <w:tc>
          <w:tcPr>
            <w:tcW w:w="2228" w:type="dxa"/>
            <w:noWrap w:val="0"/>
            <w:vAlign w:val="center"/>
          </w:tcPr>
          <w:p w14:paraId="6AE5A2CE">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杭锦旗农牧技术推广中心</w:t>
            </w:r>
          </w:p>
        </w:tc>
        <w:tc>
          <w:tcPr>
            <w:tcW w:w="4692" w:type="dxa"/>
            <w:noWrap w:val="0"/>
            <w:vAlign w:val="center"/>
          </w:tcPr>
          <w:p w14:paraId="108591C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负责杭锦旗境内本标准依托的科技项目实施及相关数据收集</w:t>
            </w:r>
          </w:p>
        </w:tc>
      </w:tr>
      <w:tr w14:paraId="2D704B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8C15425">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魏立君</w:t>
            </w:r>
          </w:p>
        </w:tc>
        <w:tc>
          <w:tcPr>
            <w:tcW w:w="2228" w:type="dxa"/>
            <w:noWrap w:val="0"/>
            <w:vAlign w:val="center"/>
          </w:tcPr>
          <w:p w14:paraId="211FFCF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7189C22">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本标准依托的科技项目实施及意见收集</w:t>
            </w:r>
          </w:p>
        </w:tc>
      </w:tr>
      <w:tr w14:paraId="61101A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0109A0B">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蔡珲</w:t>
            </w:r>
          </w:p>
        </w:tc>
        <w:tc>
          <w:tcPr>
            <w:tcW w:w="2228" w:type="dxa"/>
            <w:noWrap w:val="0"/>
            <w:vAlign w:val="center"/>
          </w:tcPr>
          <w:p w14:paraId="4495E51F">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2B988BDD">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作为专项的统计人员，负责全市相关数据统计和分析</w:t>
            </w:r>
          </w:p>
        </w:tc>
      </w:tr>
      <w:tr w14:paraId="66C91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608E755">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武蓉</w:t>
            </w:r>
          </w:p>
        </w:tc>
        <w:tc>
          <w:tcPr>
            <w:tcW w:w="2228" w:type="dxa"/>
            <w:noWrap w:val="0"/>
            <w:vAlign w:val="center"/>
          </w:tcPr>
          <w:p w14:paraId="356A904C">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2088F1E4">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科技项目材料编写及标准参考材料收集</w:t>
            </w:r>
          </w:p>
        </w:tc>
      </w:tr>
      <w:tr w14:paraId="6581A2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0877875F">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郭晓春</w:t>
            </w:r>
          </w:p>
        </w:tc>
        <w:tc>
          <w:tcPr>
            <w:tcW w:w="2228" w:type="dxa"/>
            <w:noWrap w:val="0"/>
            <w:vAlign w:val="center"/>
          </w:tcPr>
          <w:p w14:paraId="08D78AD4">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579B2DEB">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实地调研及意见收集</w:t>
            </w:r>
          </w:p>
        </w:tc>
      </w:tr>
      <w:tr w14:paraId="04286D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20FFD039">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eastAsia="zh-CN"/>
              </w:rPr>
              <w:t>郭媛媛</w:t>
            </w:r>
          </w:p>
        </w:tc>
        <w:tc>
          <w:tcPr>
            <w:tcW w:w="2228" w:type="dxa"/>
            <w:noWrap w:val="0"/>
            <w:vAlign w:val="center"/>
          </w:tcPr>
          <w:p w14:paraId="6C9260A7">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7382A6C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科技项目材料编写及标准参考材料收集</w:t>
            </w:r>
          </w:p>
        </w:tc>
      </w:tr>
      <w:tr w14:paraId="20A428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7300C8C">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张家良</w:t>
            </w:r>
          </w:p>
        </w:tc>
        <w:tc>
          <w:tcPr>
            <w:tcW w:w="2228" w:type="dxa"/>
            <w:noWrap w:val="0"/>
            <w:vAlign w:val="center"/>
          </w:tcPr>
          <w:p w14:paraId="59366C18">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3C9AFE94">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科技项目管理及材料收集</w:t>
            </w:r>
          </w:p>
        </w:tc>
      </w:tr>
      <w:tr w14:paraId="2F717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5F25A63">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徐鑫</w:t>
            </w:r>
          </w:p>
        </w:tc>
        <w:tc>
          <w:tcPr>
            <w:tcW w:w="2228" w:type="dxa"/>
            <w:noWrap w:val="0"/>
            <w:vAlign w:val="center"/>
          </w:tcPr>
          <w:p w14:paraId="5CD4C22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4E4E8287">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科技项目材料编写及意见汇总</w:t>
            </w:r>
          </w:p>
        </w:tc>
      </w:tr>
      <w:tr w14:paraId="5205C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6CCE848D">
            <w:pPr>
              <w:snapToGrid w:val="0"/>
              <w:spacing w:line="240" w:lineRule="auto"/>
              <w:jc w:val="center"/>
              <w:rPr>
                <w:rFonts w:hint="eastAsia" w:ascii="仿宋_GB2312" w:hAnsi="仿宋_GB2312" w:eastAsia="仿宋_GB2312" w:cs="仿宋_GB2312"/>
                <w:sz w:val="21"/>
                <w:szCs w:val="21"/>
                <w:lang w:val="zh-CN" w:eastAsia="zh-CN"/>
              </w:rPr>
            </w:pPr>
            <w:r>
              <w:rPr>
                <w:rFonts w:hint="eastAsia" w:ascii="仿宋_GB2312" w:hAnsi="仿宋_GB2312" w:eastAsia="仿宋_GB2312" w:cs="仿宋_GB2312"/>
                <w:sz w:val="21"/>
                <w:szCs w:val="21"/>
                <w:lang w:val="en-US" w:eastAsia="zh-CN"/>
              </w:rPr>
              <w:t>赵一杰</w:t>
            </w:r>
          </w:p>
        </w:tc>
        <w:tc>
          <w:tcPr>
            <w:tcW w:w="2228" w:type="dxa"/>
            <w:noWrap w:val="0"/>
            <w:vAlign w:val="center"/>
          </w:tcPr>
          <w:p w14:paraId="7D7D8228">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510205D9">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数据分析及自治区专家的意见征求</w:t>
            </w:r>
          </w:p>
        </w:tc>
      </w:tr>
      <w:tr w14:paraId="11F5E4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16F8152">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菅腾</w:t>
            </w:r>
          </w:p>
        </w:tc>
        <w:tc>
          <w:tcPr>
            <w:tcW w:w="2228" w:type="dxa"/>
            <w:noWrap w:val="0"/>
            <w:vAlign w:val="center"/>
          </w:tcPr>
          <w:p w14:paraId="147AA7DD">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内蒙古自治区农牧业技术推广中心</w:t>
            </w:r>
          </w:p>
        </w:tc>
        <w:tc>
          <w:tcPr>
            <w:tcW w:w="4692" w:type="dxa"/>
            <w:noWrap w:val="0"/>
            <w:vAlign w:val="center"/>
          </w:tcPr>
          <w:p w14:paraId="4F800AA1">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数据分析及实地调研</w:t>
            </w:r>
          </w:p>
        </w:tc>
      </w:tr>
      <w:tr w14:paraId="6E8889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8C63703">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陈浩然</w:t>
            </w:r>
          </w:p>
        </w:tc>
        <w:tc>
          <w:tcPr>
            <w:tcW w:w="2228" w:type="dxa"/>
            <w:noWrap w:val="0"/>
            <w:vAlign w:val="center"/>
          </w:tcPr>
          <w:p w14:paraId="0733941E">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内蒙古自治区农牧业技术推广中心</w:t>
            </w:r>
          </w:p>
        </w:tc>
        <w:tc>
          <w:tcPr>
            <w:tcW w:w="4692" w:type="dxa"/>
            <w:noWrap w:val="0"/>
            <w:vAlign w:val="center"/>
          </w:tcPr>
          <w:p w14:paraId="4436CA43">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数据分析及实地调研</w:t>
            </w:r>
          </w:p>
        </w:tc>
      </w:tr>
      <w:tr w14:paraId="7E056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6A966898">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韩剑钧</w:t>
            </w:r>
          </w:p>
        </w:tc>
        <w:tc>
          <w:tcPr>
            <w:tcW w:w="2228" w:type="dxa"/>
            <w:noWrap w:val="0"/>
            <w:vAlign w:val="center"/>
          </w:tcPr>
          <w:p w14:paraId="1376D27E">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达拉特旗畜牧与水产发展保护中心</w:t>
            </w:r>
          </w:p>
        </w:tc>
        <w:tc>
          <w:tcPr>
            <w:tcW w:w="4692" w:type="dxa"/>
            <w:noWrap w:val="0"/>
            <w:vAlign w:val="center"/>
          </w:tcPr>
          <w:p w14:paraId="2ACF73FE">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负责达拉特旗境内养殖场的实地调研和数据收集</w:t>
            </w:r>
          </w:p>
        </w:tc>
      </w:tr>
      <w:tr w14:paraId="7F482F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0E7265EF">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青克勒</w:t>
            </w:r>
          </w:p>
        </w:tc>
        <w:tc>
          <w:tcPr>
            <w:tcW w:w="2228" w:type="dxa"/>
            <w:noWrap w:val="0"/>
            <w:vAlign w:val="center"/>
          </w:tcPr>
          <w:p w14:paraId="64C2019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鄂托克旗农牧技术推广中心</w:t>
            </w:r>
          </w:p>
        </w:tc>
        <w:tc>
          <w:tcPr>
            <w:tcW w:w="4692" w:type="dxa"/>
            <w:noWrap w:val="0"/>
            <w:vAlign w:val="center"/>
          </w:tcPr>
          <w:p w14:paraId="726A4D6F">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负责鄂托克旗境内养殖场的实地调研和数据收集</w:t>
            </w:r>
          </w:p>
        </w:tc>
      </w:tr>
      <w:tr w14:paraId="6FBB82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1A297B2F">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石富</w:t>
            </w:r>
          </w:p>
        </w:tc>
        <w:tc>
          <w:tcPr>
            <w:tcW w:w="2228" w:type="dxa"/>
            <w:noWrap w:val="0"/>
            <w:vAlign w:val="center"/>
          </w:tcPr>
          <w:p w14:paraId="33DA63C4">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73DA48F2">
            <w:pPr>
              <w:snapToGrid w:val="0"/>
              <w:spacing w:line="240" w:lineRule="auto"/>
              <w:jc w:val="both"/>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val="en-US" w:eastAsia="zh-CN"/>
              </w:rPr>
              <w:t>组织实施所有水样及样品的检测工作</w:t>
            </w:r>
          </w:p>
        </w:tc>
      </w:tr>
      <w:tr w14:paraId="15D6F0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A00A234">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 xml:space="preserve"> 刘婷璐</w:t>
            </w:r>
          </w:p>
        </w:tc>
        <w:tc>
          <w:tcPr>
            <w:tcW w:w="2228" w:type="dxa"/>
            <w:noWrap w:val="0"/>
            <w:vAlign w:val="center"/>
          </w:tcPr>
          <w:p w14:paraId="7879996A">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184C1E92">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作为鄂尔多斯市农牧业标准化委员会的秘书长，按照时间节点对接市场监督管理局工作</w:t>
            </w:r>
          </w:p>
        </w:tc>
      </w:tr>
      <w:tr w14:paraId="7B2381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DC543AA">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石昊</w:t>
            </w:r>
          </w:p>
        </w:tc>
        <w:tc>
          <w:tcPr>
            <w:tcW w:w="2228" w:type="dxa"/>
            <w:noWrap w:val="0"/>
            <w:vAlign w:val="center"/>
          </w:tcPr>
          <w:p w14:paraId="75B1C59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东胜区农牧技术推广中心</w:t>
            </w:r>
          </w:p>
        </w:tc>
        <w:tc>
          <w:tcPr>
            <w:tcW w:w="4692" w:type="dxa"/>
            <w:noWrap w:val="0"/>
            <w:vAlign w:val="center"/>
          </w:tcPr>
          <w:p w14:paraId="33D1815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负责东胜区境内养殖场的实地调研和数据收集</w:t>
            </w:r>
          </w:p>
        </w:tc>
      </w:tr>
      <w:tr w14:paraId="52B67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7DFCA79">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李伟</w:t>
            </w:r>
          </w:p>
        </w:tc>
        <w:tc>
          <w:tcPr>
            <w:tcW w:w="2228" w:type="dxa"/>
            <w:noWrap w:val="0"/>
            <w:vAlign w:val="center"/>
          </w:tcPr>
          <w:p w14:paraId="6245CC57">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伊金霍洛旗农牧事业发展中心</w:t>
            </w:r>
          </w:p>
        </w:tc>
        <w:tc>
          <w:tcPr>
            <w:tcW w:w="4692" w:type="dxa"/>
            <w:noWrap w:val="0"/>
            <w:vAlign w:val="center"/>
          </w:tcPr>
          <w:p w14:paraId="50F21281">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负责伊金霍洛旗境内养殖场的实地调研和数据收集</w:t>
            </w:r>
          </w:p>
        </w:tc>
      </w:tr>
      <w:tr w14:paraId="2E65FE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818DD36">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刘佳瑶</w:t>
            </w:r>
          </w:p>
        </w:tc>
        <w:tc>
          <w:tcPr>
            <w:tcW w:w="2228" w:type="dxa"/>
            <w:noWrap w:val="0"/>
            <w:vAlign w:val="center"/>
          </w:tcPr>
          <w:p w14:paraId="265C0AF3">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58B04F0B">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参与标准依托的项目实施，收集资料和调研</w:t>
            </w:r>
          </w:p>
        </w:tc>
      </w:tr>
      <w:tr w14:paraId="5F2CAC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5111CE31">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郭彦清</w:t>
            </w:r>
          </w:p>
        </w:tc>
        <w:tc>
          <w:tcPr>
            <w:tcW w:w="2228" w:type="dxa"/>
            <w:noWrap w:val="0"/>
            <w:vAlign w:val="center"/>
          </w:tcPr>
          <w:p w14:paraId="2D270865">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650CF510">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rPr>
              <w:t>收集</w:t>
            </w:r>
            <w:r>
              <w:rPr>
                <w:rFonts w:hint="eastAsia" w:ascii="仿宋_GB2312" w:hAnsi="仿宋_GB2312" w:eastAsia="仿宋_GB2312" w:cs="仿宋_GB2312"/>
                <w:sz w:val="21"/>
                <w:szCs w:val="21"/>
                <w:lang w:eastAsia="zh-CN"/>
              </w:rPr>
              <w:t>乌审旗</w:t>
            </w:r>
            <w:r>
              <w:rPr>
                <w:rFonts w:hint="eastAsia" w:ascii="仿宋_GB2312" w:hAnsi="仿宋_GB2312" w:eastAsia="仿宋_GB2312" w:cs="仿宋_GB2312"/>
                <w:sz w:val="21"/>
                <w:szCs w:val="21"/>
              </w:rPr>
              <w:t>资料和调研</w:t>
            </w:r>
          </w:p>
        </w:tc>
      </w:tr>
      <w:tr w14:paraId="114E2E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090EDEBA">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 xml:space="preserve">孙凤舞 </w:t>
            </w:r>
          </w:p>
        </w:tc>
        <w:tc>
          <w:tcPr>
            <w:tcW w:w="2228" w:type="dxa"/>
            <w:noWrap w:val="0"/>
            <w:vAlign w:val="center"/>
          </w:tcPr>
          <w:p w14:paraId="2782F418">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5B142B4F">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负责水样的检测</w:t>
            </w:r>
          </w:p>
        </w:tc>
      </w:tr>
      <w:tr w14:paraId="39C07A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C7EA206">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 xml:space="preserve">斯琴 </w:t>
            </w:r>
          </w:p>
        </w:tc>
        <w:tc>
          <w:tcPr>
            <w:tcW w:w="2228" w:type="dxa"/>
            <w:noWrap w:val="0"/>
            <w:vAlign w:val="center"/>
          </w:tcPr>
          <w:p w14:paraId="0BA5C365">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7B3177F7">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负责水产品样品检测</w:t>
            </w:r>
          </w:p>
        </w:tc>
      </w:tr>
      <w:tr w14:paraId="6AE4B0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F9E67E8">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val="en-US" w:eastAsia="zh-CN"/>
              </w:rPr>
              <w:t>刘俊梅</w:t>
            </w:r>
          </w:p>
        </w:tc>
        <w:tc>
          <w:tcPr>
            <w:tcW w:w="2228" w:type="dxa"/>
            <w:noWrap w:val="0"/>
            <w:vAlign w:val="center"/>
          </w:tcPr>
          <w:p w14:paraId="7B5648DD">
            <w:pPr>
              <w:snapToGrid w:val="0"/>
              <w:spacing w:line="240" w:lineRule="auto"/>
              <w:jc w:val="center"/>
              <w:rPr>
                <w:rFonts w:hint="eastAsia" w:ascii="仿宋_GB2312" w:hAnsi="仿宋_GB2312" w:eastAsia="仿宋_GB2312" w:cs="仿宋_GB2312"/>
                <w:kern w:val="2"/>
                <w:sz w:val="21"/>
                <w:szCs w:val="21"/>
                <w:lang w:val="en-US" w:eastAsia="zh-CN" w:bidi="ar-SA"/>
              </w:rPr>
            </w:pPr>
            <w:r>
              <w:rPr>
                <w:rFonts w:hint="eastAsia" w:ascii="仿宋_GB2312" w:hAnsi="仿宋_GB2312" w:eastAsia="仿宋_GB2312" w:cs="仿宋_GB2312"/>
                <w:sz w:val="21"/>
                <w:szCs w:val="21"/>
                <w:lang w:eastAsia="zh-CN"/>
              </w:rPr>
              <w:t>鄂尔多斯市农畜产品质量安全中心</w:t>
            </w:r>
          </w:p>
        </w:tc>
        <w:tc>
          <w:tcPr>
            <w:tcW w:w="4692" w:type="dxa"/>
            <w:noWrap w:val="0"/>
            <w:vAlign w:val="center"/>
          </w:tcPr>
          <w:p w14:paraId="08F135D8">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负责水产品样品检测</w:t>
            </w:r>
          </w:p>
        </w:tc>
      </w:tr>
      <w:tr w14:paraId="7B5960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FB7E3BE">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李平</w:t>
            </w:r>
          </w:p>
        </w:tc>
        <w:tc>
          <w:tcPr>
            <w:tcW w:w="2228" w:type="dxa"/>
            <w:noWrap w:val="0"/>
            <w:vAlign w:val="center"/>
          </w:tcPr>
          <w:p w14:paraId="0D389B60">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乌审旗农牧技术推广中心</w:t>
            </w:r>
          </w:p>
        </w:tc>
        <w:tc>
          <w:tcPr>
            <w:tcW w:w="4692" w:type="dxa"/>
            <w:noWrap w:val="0"/>
            <w:vAlign w:val="center"/>
          </w:tcPr>
          <w:p w14:paraId="5AB73D4B">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负责乌审旗境内养殖场的实地调研和数据收集</w:t>
            </w:r>
          </w:p>
        </w:tc>
      </w:tr>
      <w:tr w14:paraId="156DB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7D744B99">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李刚</w:t>
            </w:r>
          </w:p>
        </w:tc>
        <w:tc>
          <w:tcPr>
            <w:tcW w:w="2228" w:type="dxa"/>
            <w:noWrap w:val="0"/>
            <w:vAlign w:val="center"/>
          </w:tcPr>
          <w:p w14:paraId="4338D5DC">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准格尔旗农牧业综合服务中心</w:t>
            </w:r>
          </w:p>
        </w:tc>
        <w:tc>
          <w:tcPr>
            <w:tcW w:w="4692" w:type="dxa"/>
            <w:noWrap w:val="0"/>
            <w:vAlign w:val="center"/>
          </w:tcPr>
          <w:p w14:paraId="6258CE6D">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负责准格尔旗境内养殖场的实地调研和数据收集</w:t>
            </w:r>
          </w:p>
        </w:tc>
      </w:tr>
      <w:tr w14:paraId="1F422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49CC0C89">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岳俊峰</w:t>
            </w:r>
          </w:p>
        </w:tc>
        <w:tc>
          <w:tcPr>
            <w:tcW w:w="2228" w:type="dxa"/>
            <w:noWrap w:val="0"/>
            <w:vAlign w:val="center"/>
          </w:tcPr>
          <w:p w14:paraId="39699D02">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鄂尔多斯市农牧技术推广中心</w:t>
            </w:r>
          </w:p>
        </w:tc>
        <w:tc>
          <w:tcPr>
            <w:tcW w:w="4692" w:type="dxa"/>
            <w:noWrap w:val="0"/>
            <w:vAlign w:val="center"/>
          </w:tcPr>
          <w:p w14:paraId="388F8946">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参与实地调研</w:t>
            </w:r>
          </w:p>
        </w:tc>
      </w:tr>
      <w:tr w14:paraId="3579F1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53E6EC7">
            <w:pPr>
              <w:snapToGrid w:val="0"/>
              <w:spacing w:line="240" w:lineRule="auto"/>
              <w:jc w:val="center"/>
              <w:rPr>
                <w:rFonts w:hint="eastAsia" w:ascii="仿宋_GB2312" w:hAnsi="仿宋_GB2312" w:eastAsia="仿宋_GB2312" w:cs="仿宋_GB2312"/>
                <w:sz w:val="21"/>
                <w:szCs w:val="21"/>
                <w:lang w:val="en-US" w:eastAsia="zh-CN"/>
              </w:rPr>
            </w:pPr>
            <w:r>
              <w:rPr>
                <w:rFonts w:hint="eastAsia" w:ascii="仿宋_GB2312" w:hAnsi="仿宋_GB2312" w:eastAsia="仿宋_GB2312" w:cs="仿宋_GB2312"/>
                <w:sz w:val="21"/>
                <w:szCs w:val="21"/>
                <w:lang w:val="en-US" w:eastAsia="zh-CN"/>
              </w:rPr>
              <w:t>贾振荣</w:t>
            </w:r>
          </w:p>
        </w:tc>
        <w:tc>
          <w:tcPr>
            <w:tcW w:w="2228" w:type="dxa"/>
            <w:noWrap w:val="0"/>
            <w:vAlign w:val="center"/>
          </w:tcPr>
          <w:p w14:paraId="142529A3">
            <w:pPr>
              <w:snapToGrid w:val="0"/>
              <w:spacing w:line="240" w:lineRule="auto"/>
              <w:jc w:val="center"/>
              <w:rPr>
                <w:rFonts w:hint="eastAsia" w:ascii="仿宋_GB2312" w:hAnsi="仿宋_GB2312" w:eastAsia="仿宋_GB2312" w:cs="仿宋_GB2312"/>
                <w:sz w:val="21"/>
                <w:szCs w:val="21"/>
                <w:lang w:eastAsia="zh-CN"/>
              </w:rPr>
            </w:pPr>
            <w:r>
              <w:rPr>
                <w:rFonts w:hint="eastAsia" w:ascii="仿宋_GB2312" w:hAnsi="仿宋_GB2312" w:eastAsia="仿宋_GB2312" w:cs="仿宋_GB2312"/>
                <w:sz w:val="21"/>
                <w:szCs w:val="21"/>
                <w:lang w:eastAsia="zh-CN"/>
              </w:rPr>
              <w:t>伊金霍洛旗农牧事业发展中心</w:t>
            </w:r>
          </w:p>
        </w:tc>
        <w:tc>
          <w:tcPr>
            <w:tcW w:w="4692" w:type="dxa"/>
            <w:noWrap w:val="0"/>
            <w:vAlign w:val="center"/>
          </w:tcPr>
          <w:p w14:paraId="0287C54D">
            <w:pPr>
              <w:snapToGrid w:val="0"/>
              <w:spacing w:line="240" w:lineRule="auto"/>
              <w:jc w:val="center"/>
              <w:rPr>
                <w:rFonts w:hint="eastAsia" w:ascii="仿宋_GB2312" w:hAnsi="仿宋_GB2312" w:eastAsia="仿宋_GB2312" w:cs="仿宋_GB2312"/>
                <w:sz w:val="21"/>
                <w:szCs w:val="21"/>
              </w:rPr>
            </w:pPr>
            <w:r>
              <w:rPr>
                <w:rFonts w:hint="eastAsia" w:ascii="仿宋_GB2312" w:hAnsi="仿宋_GB2312" w:eastAsia="仿宋_GB2312" w:cs="仿宋_GB2312"/>
                <w:sz w:val="21"/>
                <w:szCs w:val="21"/>
                <w:lang w:eastAsia="zh-CN"/>
              </w:rPr>
              <w:t>负责伊金霍洛旗境内养殖场的实地调研和数据分析、确定</w:t>
            </w:r>
          </w:p>
        </w:tc>
      </w:tr>
      <w:tr w14:paraId="55DB07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9" w:hRule="atLeast"/>
          <w:jc w:val="center"/>
        </w:trPr>
        <w:tc>
          <w:tcPr>
            <w:tcW w:w="1189" w:type="dxa"/>
            <w:noWrap w:val="0"/>
            <w:vAlign w:val="center"/>
          </w:tcPr>
          <w:p w14:paraId="342A7670">
            <w:pPr>
              <w:snapToGrid w:val="0"/>
              <w:spacing w:line="240" w:lineRule="auto"/>
              <w:jc w:val="center"/>
              <w:rPr>
                <w:rFonts w:hint="eastAsia" w:ascii="仿宋_GB2312" w:eastAsia="仿宋_GB2312"/>
                <w:sz w:val="21"/>
                <w:szCs w:val="21"/>
                <w:lang w:val="en-US" w:eastAsia="zh-CN"/>
              </w:rPr>
            </w:pPr>
          </w:p>
        </w:tc>
        <w:tc>
          <w:tcPr>
            <w:tcW w:w="2228" w:type="dxa"/>
            <w:noWrap w:val="0"/>
            <w:vAlign w:val="center"/>
          </w:tcPr>
          <w:p w14:paraId="3288ECA2">
            <w:pPr>
              <w:snapToGrid w:val="0"/>
              <w:spacing w:line="240" w:lineRule="auto"/>
              <w:jc w:val="center"/>
              <w:rPr>
                <w:rFonts w:hint="eastAsia" w:ascii="宋体" w:hAnsi="宋体" w:eastAsia="宋体"/>
                <w:sz w:val="21"/>
                <w:szCs w:val="21"/>
              </w:rPr>
            </w:pPr>
          </w:p>
        </w:tc>
        <w:tc>
          <w:tcPr>
            <w:tcW w:w="4692" w:type="dxa"/>
            <w:noWrap w:val="0"/>
            <w:vAlign w:val="center"/>
          </w:tcPr>
          <w:p w14:paraId="45FF5328">
            <w:pPr>
              <w:snapToGrid w:val="0"/>
              <w:spacing w:line="240" w:lineRule="auto"/>
              <w:jc w:val="center"/>
              <w:rPr>
                <w:rFonts w:hint="eastAsia" w:ascii="宋体" w:hAnsi="宋体" w:eastAsia="宋体"/>
                <w:sz w:val="21"/>
                <w:szCs w:val="21"/>
              </w:rPr>
            </w:pPr>
          </w:p>
        </w:tc>
      </w:tr>
    </w:tbl>
    <w:p w14:paraId="2AE4E29C">
      <w:pPr>
        <w:widowControl w:val="0"/>
        <w:spacing w:line="360" w:lineRule="auto"/>
        <w:ind w:firstLine="640" w:firstLineChars="200"/>
        <w:jc w:val="both"/>
        <w:rPr>
          <w:rFonts w:hint="eastAsia" w:ascii="仿宋_GB2312" w:hAnsi="Courier New" w:eastAsia="仿宋_GB2312" w:cs="Times New Roman"/>
          <w:kern w:val="2"/>
          <w:sz w:val="32"/>
          <w:szCs w:val="32"/>
          <w:lang w:val="en-US" w:eastAsia="zh-CN" w:bidi="ar-SA"/>
        </w:rPr>
      </w:pPr>
    </w:p>
    <w:p w14:paraId="20C06E0A">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（三）征求意见阶段</w:t>
      </w:r>
      <w:r>
        <w:rPr>
          <w:rFonts w:hint="eastAsia" w:ascii="楷体_GB2312" w:hAnsi="楷体_GB2312" w:eastAsia="楷体_GB2312" w:cs="楷体_GB2312"/>
          <w:color w:val="FF0000"/>
          <w:kern w:val="2"/>
          <w:sz w:val="32"/>
          <w:szCs w:val="32"/>
          <w:lang w:val="en-US" w:eastAsia="zh-CN" w:bidi="ar-SA"/>
        </w:rPr>
        <w:t>（待补充）</w:t>
      </w:r>
    </w:p>
    <w:p w14:paraId="1AED222F">
      <w:pPr>
        <w:widowControl w:val="0"/>
        <w:spacing w:line="360" w:lineRule="auto"/>
        <w:ind w:firstLine="560" w:firstLineChars="200"/>
        <w:jc w:val="both"/>
        <w:rPr>
          <w:rFonts w:hint="eastAsia" w:ascii="仿宋_GB2312" w:eastAsia="仿宋_GB2312"/>
          <w:sz w:val="28"/>
          <w:szCs w:val="28"/>
          <w:lang w:eastAsia="zh-CN"/>
        </w:rPr>
      </w:pPr>
      <w:bookmarkStart w:id="1" w:name="OLE_LINK5"/>
      <w:bookmarkStart w:id="2" w:name="OLE_LINK6"/>
      <w:r>
        <w:rPr>
          <w:rFonts w:hint="eastAsia" w:ascii="仿宋_GB2312" w:eastAsia="仿宋_GB2312"/>
          <w:sz w:val="28"/>
          <w:szCs w:val="28"/>
          <w:lang w:eastAsia="zh-CN"/>
        </w:rPr>
        <w:t>标准征求意见稿形成后，起草小组向鄂尔多斯市境内草鱼养殖主题、技术推广相关单位，以及相关领域教授、专家征求意见。共发放意见征求函</w:t>
      </w:r>
      <w:r>
        <w:rPr>
          <w:rFonts w:hint="eastAsia" w:ascii="仿宋_GB2312" w:eastAsia="仿宋_GB2312"/>
          <w:sz w:val="28"/>
          <w:szCs w:val="28"/>
          <w:lang w:val="en-US" w:eastAsia="zh-CN"/>
        </w:rPr>
        <w:t>XX</w:t>
      </w:r>
      <w:r>
        <w:rPr>
          <w:rFonts w:hint="eastAsia" w:ascii="仿宋_GB2312" w:eastAsia="仿宋_GB2312"/>
          <w:sz w:val="28"/>
          <w:szCs w:val="28"/>
          <w:lang w:eastAsia="zh-CN"/>
        </w:rPr>
        <w:t>份，回收</w:t>
      </w:r>
      <w:r>
        <w:rPr>
          <w:rFonts w:hint="eastAsia" w:ascii="仿宋_GB2312" w:eastAsia="仿宋_GB2312"/>
          <w:sz w:val="28"/>
          <w:szCs w:val="28"/>
          <w:lang w:val="en-US" w:eastAsia="zh-CN"/>
        </w:rPr>
        <w:t>XX</w:t>
      </w:r>
      <w:r>
        <w:rPr>
          <w:rFonts w:hint="eastAsia" w:ascii="仿宋_GB2312" w:eastAsia="仿宋_GB2312"/>
          <w:sz w:val="28"/>
          <w:szCs w:val="28"/>
          <w:lang w:eastAsia="zh-CN"/>
        </w:rPr>
        <w:t>份。具体情况如下：①鄂尔多斯市境内草鱼主体</w:t>
      </w:r>
      <w:r>
        <w:rPr>
          <w:rFonts w:hint="eastAsia" w:ascii="仿宋_GB2312" w:eastAsia="仿宋_GB2312"/>
          <w:sz w:val="28"/>
          <w:szCs w:val="28"/>
          <w:lang w:val="en-US" w:eastAsia="zh-CN"/>
        </w:rPr>
        <w:t>XX家，</w:t>
      </w:r>
      <w:r>
        <w:rPr>
          <w:rFonts w:hint="eastAsia" w:ascii="仿宋_GB2312" w:eastAsia="仿宋_GB2312"/>
          <w:sz w:val="28"/>
          <w:szCs w:val="28"/>
          <w:lang w:eastAsia="zh-CN"/>
        </w:rPr>
        <w:t>③技术推广单位：</w:t>
      </w:r>
      <w:r>
        <w:rPr>
          <w:rFonts w:hint="eastAsia" w:ascii="仿宋_GB2312" w:eastAsia="仿宋_GB2312"/>
          <w:sz w:val="28"/>
          <w:szCs w:val="28"/>
          <w:lang w:val="en-US" w:eastAsia="zh-CN"/>
        </w:rPr>
        <w:t>XX家</w:t>
      </w:r>
      <w:r>
        <w:rPr>
          <w:rFonts w:hint="eastAsia" w:ascii="仿宋_GB2312" w:eastAsia="仿宋_GB2312"/>
          <w:sz w:val="28"/>
          <w:szCs w:val="28"/>
          <w:lang w:eastAsia="zh-CN"/>
        </w:rPr>
        <w:t>；④专家、教授共</w:t>
      </w:r>
      <w:r>
        <w:rPr>
          <w:rFonts w:hint="eastAsia" w:ascii="仿宋_GB2312" w:eastAsia="仿宋_GB2312"/>
          <w:sz w:val="28"/>
          <w:szCs w:val="28"/>
          <w:lang w:val="en-US" w:eastAsia="zh-CN"/>
        </w:rPr>
        <w:t>XX</w:t>
      </w:r>
      <w:r>
        <w:rPr>
          <w:rFonts w:hint="eastAsia" w:ascii="仿宋_GB2312" w:eastAsia="仿宋_GB2312"/>
          <w:sz w:val="28"/>
          <w:szCs w:val="28"/>
          <w:lang w:eastAsia="zh-CN"/>
        </w:rPr>
        <w:t>位；共收集</w:t>
      </w:r>
      <w:r>
        <w:rPr>
          <w:rFonts w:hint="eastAsia" w:ascii="仿宋_GB2312" w:eastAsia="仿宋_GB2312"/>
          <w:sz w:val="28"/>
          <w:szCs w:val="28"/>
          <w:lang w:val="en-US" w:eastAsia="zh-CN"/>
        </w:rPr>
        <w:t>XX</w:t>
      </w:r>
      <w:r>
        <w:rPr>
          <w:rFonts w:hint="eastAsia" w:ascii="仿宋_GB2312" w:eastAsia="仿宋_GB2312"/>
          <w:sz w:val="28"/>
          <w:szCs w:val="28"/>
          <w:lang w:eastAsia="zh-CN"/>
        </w:rPr>
        <w:t>条修改意见，其中标准文本</w:t>
      </w:r>
      <w:r>
        <w:rPr>
          <w:rFonts w:hint="eastAsia" w:ascii="仿宋_GB2312" w:eastAsia="仿宋_GB2312"/>
          <w:sz w:val="28"/>
          <w:szCs w:val="28"/>
          <w:lang w:val="en-US" w:eastAsia="zh-CN"/>
        </w:rPr>
        <w:t>XX</w:t>
      </w:r>
      <w:r>
        <w:rPr>
          <w:rFonts w:hint="eastAsia" w:ascii="仿宋_GB2312" w:eastAsia="仿宋_GB2312"/>
          <w:sz w:val="28"/>
          <w:szCs w:val="28"/>
          <w:lang w:eastAsia="zh-CN"/>
        </w:rPr>
        <w:t>条，编制说明</w:t>
      </w:r>
      <w:r>
        <w:rPr>
          <w:rFonts w:hint="eastAsia" w:ascii="仿宋_GB2312" w:eastAsia="仿宋_GB2312"/>
          <w:sz w:val="28"/>
          <w:szCs w:val="28"/>
          <w:lang w:val="en-US" w:eastAsia="zh-CN"/>
        </w:rPr>
        <w:t>XX</w:t>
      </w:r>
      <w:r>
        <w:rPr>
          <w:rFonts w:hint="eastAsia" w:ascii="仿宋_GB2312" w:eastAsia="仿宋_GB2312"/>
          <w:sz w:val="28"/>
          <w:szCs w:val="28"/>
          <w:lang w:eastAsia="zh-CN"/>
        </w:rPr>
        <w:t>条。意见采纳</w:t>
      </w:r>
      <w:r>
        <w:rPr>
          <w:rFonts w:hint="eastAsia" w:ascii="仿宋_GB2312" w:eastAsia="仿宋_GB2312"/>
          <w:sz w:val="28"/>
          <w:szCs w:val="28"/>
          <w:lang w:val="en-US" w:eastAsia="zh-CN"/>
        </w:rPr>
        <w:t>XX</w:t>
      </w:r>
      <w:r>
        <w:rPr>
          <w:rFonts w:hint="eastAsia" w:ascii="仿宋_GB2312" w:eastAsia="仿宋_GB2312"/>
          <w:sz w:val="28"/>
          <w:szCs w:val="28"/>
          <w:lang w:eastAsia="zh-CN"/>
        </w:rPr>
        <w:t>条，部分采纳</w:t>
      </w:r>
      <w:r>
        <w:rPr>
          <w:rFonts w:hint="eastAsia" w:ascii="仿宋_GB2312" w:eastAsia="仿宋_GB2312"/>
          <w:sz w:val="28"/>
          <w:szCs w:val="28"/>
          <w:lang w:val="en-US" w:eastAsia="zh-CN"/>
        </w:rPr>
        <w:t>XX</w:t>
      </w:r>
      <w:r>
        <w:rPr>
          <w:rFonts w:hint="eastAsia" w:ascii="仿宋_GB2312" w:eastAsia="仿宋_GB2312"/>
          <w:sz w:val="28"/>
          <w:szCs w:val="28"/>
          <w:lang w:eastAsia="zh-CN"/>
        </w:rPr>
        <w:t>条，不采纳</w:t>
      </w:r>
      <w:r>
        <w:rPr>
          <w:rFonts w:hint="eastAsia" w:ascii="仿宋_GB2312" w:eastAsia="仿宋_GB2312"/>
          <w:sz w:val="28"/>
          <w:szCs w:val="28"/>
          <w:lang w:val="en-US" w:eastAsia="zh-CN"/>
        </w:rPr>
        <w:t>XX</w:t>
      </w:r>
      <w:r>
        <w:rPr>
          <w:rFonts w:hint="eastAsia" w:ascii="仿宋_GB2312" w:eastAsia="仿宋_GB2312"/>
          <w:sz w:val="28"/>
          <w:szCs w:val="28"/>
          <w:lang w:eastAsia="zh-CN"/>
        </w:rPr>
        <w:t>条，（详见征求意见汇总表）。</w:t>
      </w:r>
      <w:bookmarkEnd w:id="1"/>
      <w:bookmarkEnd w:id="2"/>
    </w:p>
    <w:p w14:paraId="2A29E11D">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（四）送审阶段</w:t>
      </w:r>
      <w:r>
        <w:rPr>
          <w:rFonts w:hint="eastAsia" w:ascii="楷体_GB2312" w:hAnsi="楷体_GB2312" w:eastAsia="楷体_GB2312" w:cs="楷体_GB2312"/>
          <w:color w:val="FF0000"/>
          <w:kern w:val="2"/>
          <w:sz w:val="32"/>
          <w:szCs w:val="32"/>
          <w:lang w:val="en-US" w:eastAsia="zh-CN" w:bidi="ar-SA"/>
        </w:rPr>
        <w:t>（待补充）</w:t>
      </w:r>
    </w:p>
    <w:p w14:paraId="31259F5A">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标准工作组将标准的文本和编制说明（征求意见稿）在采纳吸收各方意见的基础上，进行修改、完善，并报鄂尔多斯市市场监督管理局在网上面向社会征集意见（</w:t>
      </w:r>
      <w:r>
        <w:rPr>
          <w:rFonts w:hint="eastAsia" w:ascii="仿宋_GB2312" w:eastAsia="仿宋_GB2312"/>
          <w:sz w:val="28"/>
          <w:szCs w:val="28"/>
          <w:lang w:val="en-US" w:eastAsia="zh-CN"/>
        </w:rPr>
        <w:t>2个月</w:t>
      </w:r>
      <w:r>
        <w:rPr>
          <w:rFonts w:hint="eastAsia" w:ascii="仿宋_GB2312" w:eastAsia="仿宋_GB2312"/>
          <w:sz w:val="28"/>
          <w:szCs w:val="28"/>
          <w:lang w:eastAsia="zh-CN"/>
        </w:rPr>
        <w:t>），意见征集完毕后，再进一步完善和修改，形成送审稿。</w:t>
      </w:r>
    </w:p>
    <w:p w14:paraId="73F8AECD">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eastAsia="zh-CN"/>
        </w:rPr>
        <w:t>形成送审稿后，由鄂尔多斯市农牧技术推广中心向鄂尔多斯市农牧业标准化技术委员会提出申请，由鄂尔多斯市农牧业标准化技术委员会和鄂尔多斯市市场监督管理局共同组织标准的审查工作。</w:t>
      </w:r>
      <w:r>
        <w:rPr>
          <w:rFonts w:hint="eastAsia" w:ascii="仿宋_GB2312" w:eastAsia="仿宋_GB2312"/>
          <w:sz w:val="28"/>
          <w:szCs w:val="28"/>
          <w:lang w:val="en-US" w:eastAsia="zh-CN"/>
        </w:rPr>
        <w:t>鄂尔多斯市农牧技术推广中心计划申请在2025年6月前完成标准审查工作。</w:t>
      </w:r>
    </w:p>
    <w:p w14:paraId="3F6EF950">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（五）报批阶段</w:t>
      </w:r>
      <w:r>
        <w:rPr>
          <w:rFonts w:hint="eastAsia" w:ascii="楷体_GB2312" w:hAnsi="楷体_GB2312" w:eastAsia="楷体_GB2312" w:cs="楷体_GB2312"/>
          <w:color w:val="FF0000"/>
          <w:kern w:val="2"/>
          <w:sz w:val="32"/>
          <w:szCs w:val="32"/>
          <w:lang w:val="en-US" w:eastAsia="zh-CN" w:bidi="ar-SA"/>
        </w:rPr>
        <w:t>（待补充）</w:t>
      </w:r>
    </w:p>
    <w:p w14:paraId="0A9E8FBE">
      <w:pPr>
        <w:widowControl w:val="0"/>
        <w:spacing w:line="360" w:lineRule="auto"/>
        <w:ind w:firstLine="560" w:firstLineChars="200"/>
        <w:jc w:val="both"/>
        <w:rPr>
          <w:rFonts w:hint="eastAsia" w:ascii="仿宋_GB2312" w:eastAsia="仿宋_GB2312"/>
          <w:sz w:val="28"/>
          <w:szCs w:val="28"/>
          <w:lang w:eastAsia="zh-CN"/>
        </w:rPr>
      </w:pPr>
      <w:r>
        <w:rPr>
          <w:rFonts w:hint="eastAsia" w:ascii="仿宋_GB2312" w:eastAsia="仿宋_GB2312"/>
          <w:sz w:val="28"/>
          <w:szCs w:val="28"/>
          <w:lang w:val="en-US" w:eastAsia="zh-CN"/>
        </w:rPr>
        <w:t>审查后，标准工作组根据专家意见修改后形成报批稿，向</w:t>
      </w:r>
      <w:r>
        <w:rPr>
          <w:rFonts w:hint="eastAsia" w:ascii="仿宋_GB2312" w:eastAsia="仿宋_GB2312"/>
          <w:sz w:val="28"/>
          <w:szCs w:val="28"/>
          <w:lang w:eastAsia="zh-CN"/>
        </w:rPr>
        <w:t>鄂尔多斯市农牧业标准化技术委员会申请报批，并</w:t>
      </w:r>
      <w:r>
        <w:rPr>
          <w:rFonts w:hint="eastAsia" w:ascii="仿宋_GB2312" w:eastAsia="仿宋_GB2312"/>
          <w:sz w:val="28"/>
          <w:szCs w:val="28"/>
          <w:lang w:val="en-US" w:eastAsia="zh-CN"/>
        </w:rPr>
        <w:t>报送鄂尔多斯市市场监管局待发布。</w:t>
      </w:r>
    </w:p>
    <w:p w14:paraId="47DCDB62">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四、制定标准的原则和依据，与现行法律、法规、标准的关系</w:t>
      </w:r>
    </w:p>
    <w:p w14:paraId="05FAF0C5">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（一）编制原则</w:t>
      </w:r>
    </w:p>
    <w:p w14:paraId="5190FBBD">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1.合法性。本文件遵循《中华人民共和国标准化法》《中华人民共和国渔业法》国家有关法律，以及方针、政策等。</w:t>
      </w:r>
    </w:p>
    <w:p w14:paraId="29142ED5">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2.合规性。本文件按照GB/T 1.1-2020《标准化工作导则 第1部分：标准化文件的结构和起草规则》和《GB/T 20001.5-2017标准编写规则 第5部分：规范标准》的规定进行编写；标准文本中能直接引用的标准尽量引用，相关内容不再在本标准中出现。</w:t>
      </w:r>
    </w:p>
    <w:p w14:paraId="0495FBDF">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3.广泛性。一是本标准经过广泛的调查研究和必要的试验验证工作，掌握了目前草鱼养殖行业现状、关键过程存在的问题。二是从提升养殖主体效益，提高草鱼养殖效率的指导思想出发，本标准主要对环境条件、放养前的准备工作、鱼种放养、饲料管理、水质管理、日常管理、鱼病防控、捕捞等技术要素进行规定。三是本标准密切结合我市实际情况，严格执行国家标准，参考行业标准和地方标准。</w:t>
      </w:r>
    </w:p>
    <w:p w14:paraId="59378945">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4.可操作性。本标准规定的内容是依据鄂尔多斯市当地草鱼养殖企业具体的养殖技术进行规范的。因此，本标准在实际养殖过程中具有可操作性。</w:t>
      </w:r>
    </w:p>
    <w:p w14:paraId="52FDC487">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（二）主要依据</w:t>
      </w:r>
    </w:p>
    <w:p w14:paraId="2B485261">
      <w:pPr>
        <w:widowControl w:val="0"/>
        <w:spacing w:line="360" w:lineRule="auto"/>
        <w:ind w:firstLine="560" w:firstLineChars="200"/>
        <w:jc w:val="both"/>
        <w:rPr>
          <w:rFonts w:hint="eastAsia" w:ascii="仿宋_GB2312" w:eastAsia="仿宋_GB2312"/>
          <w:sz w:val="28"/>
          <w:szCs w:val="28"/>
          <w:lang w:val="en-US" w:eastAsia="zh-CN"/>
        </w:rPr>
      </w:pPr>
      <w:r>
        <w:rPr>
          <w:rFonts w:hint="eastAsia" w:ascii="仿宋_GB2312" w:eastAsia="仿宋_GB2312"/>
          <w:sz w:val="28"/>
          <w:szCs w:val="28"/>
          <w:lang w:val="en-US" w:eastAsia="zh-CN"/>
        </w:rPr>
        <w:t>该标准在编制过程中，开展了充分的调研和试验论证、分析了草鱼池塘养殖的技术要点，参考了其他地区的相关标准和做法，并引用了以下标准：</w:t>
      </w:r>
    </w:p>
    <w:p w14:paraId="74D5249C">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GB 5084 农田灌溉水质标准</w:t>
      </w:r>
    </w:p>
    <w:p w14:paraId="7B073223">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GB/T 11176 草鱼鱼苗、鱼种</w:t>
      </w:r>
    </w:p>
    <w:p w14:paraId="7D18319C">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GB 11607 渔业水质标准</w:t>
      </w:r>
    </w:p>
    <w:p w14:paraId="70186CE3">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GB/T 36205 草鱼配合饲料</w:t>
      </w:r>
    </w:p>
    <w:p w14:paraId="1B3152A0">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NY/T 2798.13 无公害农产品 生产质量安全控制技术规范 第13部分：养殖水产品</w:t>
      </w:r>
    </w:p>
    <w:p w14:paraId="3EC611E5">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NY/T 3616 水产养殖场建设规范</w:t>
      </w:r>
    </w:p>
    <w:p w14:paraId="48054F38">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NY 5071 无公害食品 渔用药物使用准则</w:t>
      </w:r>
    </w:p>
    <w:p w14:paraId="4441EB8E">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NY 5072 无公害食品 渔用配合饲料安全限量</w:t>
      </w:r>
    </w:p>
    <w:p w14:paraId="132DE025">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SC/T 0004 水产养殖质量安全管理规范</w:t>
      </w:r>
    </w:p>
    <w:p w14:paraId="52DFA796">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SC/T 9101 淡水池塘养殖水排放要求</w:t>
      </w:r>
    </w:p>
    <w:p w14:paraId="45707797">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SC/T 9406 盐碱地水产养殖用水水质</w:t>
      </w:r>
    </w:p>
    <w:p w14:paraId="769669D4">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（三）与现行法律、法规、标准的关系</w:t>
      </w:r>
    </w:p>
    <w:p w14:paraId="608019A1">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本标准中涉及的草鱼池塘养殖技术规范的相关法律法规有《中华人民共和国农业法》、《中华人民共和国农业技术推广法》等。本标准以《中华人民共和国标准化法》、《中华人民共和国标准化法实施条例》、《农业部农业标准化管理办法》等法律法规为准则，严格按照GB/T 1.1—2020《标准化工作导则 第1部分：标准化文件的结构和起草规则》的技术要求进行编制。</w:t>
      </w:r>
    </w:p>
    <w:p w14:paraId="265F5DC7">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本标准有关的强制性标准有《GB 11607 渔业水质标准》等3项。</w:t>
      </w:r>
    </w:p>
    <w:p w14:paraId="061A7D75">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宋体" w:hAnsi="宋体" w:eastAsia="宋体" w:cs="宋体"/>
          <w:sz w:val="24"/>
          <w:szCs w:val="24"/>
          <w:lang w:eastAsia="zh-CN"/>
        </w:rPr>
      </w:pPr>
      <w:r>
        <w:rPr>
          <w:rFonts w:hint="eastAsia" w:ascii="仿宋_GB2312" w:eastAsia="仿宋_GB2312"/>
          <w:sz w:val="28"/>
          <w:szCs w:val="28"/>
          <w:lang w:val="en-US" w:eastAsia="zh-CN"/>
        </w:rPr>
        <w:t>本标准编制过程中，参考了国家、行业、地方有关标准，与相关的现行法律、法规和强制性标准均没有冲突。</w:t>
      </w:r>
    </w:p>
    <w:p w14:paraId="221BFFA3">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五、主要条款的说明，主要技术指标、参数、试验论证的论述</w:t>
      </w:r>
    </w:p>
    <w:p w14:paraId="3A37A07D">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（一）主要条款的说明</w:t>
      </w:r>
    </w:p>
    <w:p w14:paraId="0EB5203F">
      <w:pPr>
        <w:keepNext w:val="0"/>
        <w:keepLines w:val="0"/>
        <w:pageBreakBefore w:val="0"/>
        <w:numPr>
          <w:ilvl w:val="0"/>
          <w:numId w:val="0"/>
        </w:numPr>
        <w:kinsoku/>
        <w:wordWrap/>
        <w:overflowPunct/>
        <w:topLinePunct w:val="0"/>
        <w:bidi w:val="0"/>
        <w:spacing w:line="360" w:lineRule="auto"/>
        <w:ind w:firstLine="560" w:firstLineChars="200"/>
        <w:textAlignment w:val="auto"/>
        <w:rPr>
          <w:rFonts w:hint="eastAsia" w:ascii="仿宋_GB2312" w:eastAsia="仿宋_GB2312"/>
          <w:sz w:val="28"/>
          <w:szCs w:val="28"/>
          <w:lang w:val="en-US" w:eastAsia="zh-CN"/>
        </w:rPr>
      </w:pPr>
      <w:r>
        <w:rPr>
          <w:rFonts w:hint="eastAsia" w:ascii="仿宋_GB2312" w:eastAsia="仿宋_GB2312"/>
          <w:sz w:val="28"/>
          <w:szCs w:val="28"/>
          <w:lang w:val="en-US" w:eastAsia="zh-CN"/>
        </w:rPr>
        <w:t>1.范围</w:t>
      </w:r>
    </w:p>
    <w:p w14:paraId="5A5CD325">
      <w:pPr>
        <w:tabs>
          <w:tab w:val="left" w:pos="2268"/>
        </w:tabs>
        <w:spacing w:line="360" w:lineRule="auto"/>
        <w:ind w:firstLine="560" w:firstLineChars="200"/>
      </w:pPr>
      <w:r>
        <w:rPr>
          <w:rFonts w:hint="eastAsia" w:ascii="仿宋_GB2312" w:eastAsia="仿宋_GB2312"/>
          <w:sz w:val="28"/>
          <w:szCs w:val="28"/>
          <w:lang w:val="en-US" w:eastAsia="zh-CN"/>
        </w:rPr>
        <w:t>本文件规定了环境条件、池塘准备、苗种管理、饲养管理、水质管理、日常管理、鱼病防控、质量安全、尾水处理及循环利用等技术。</w:t>
      </w:r>
    </w:p>
    <w:p w14:paraId="49DB30C8">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2.规范性引用文件</w:t>
      </w:r>
    </w:p>
    <w:p w14:paraId="77B09EC3">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一是对于标准框架结构中已有相应的国家标准或行业标准的，直接引用相应的标准，如《GB 11607 渔业水质标准》《GB/T 36205 草鱼配合饲料》</w:t>
      </w:r>
      <w:bookmarkStart w:id="3" w:name="_Hlk158386238"/>
      <w:r>
        <w:rPr>
          <w:rFonts w:hint="eastAsia" w:ascii="仿宋_GB2312" w:eastAsia="仿宋_GB2312"/>
          <w:sz w:val="28"/>
          <w:szCs w:val="28"/>
          <w:lang w:val="en-US" w:eastAsia="zh-CN"/>
        </w:rPr>
        <w:t>《GB/T 11176 草鱼鱼苗、鱼种》</w:t>
      </w:r>
      <w:bookmarkEnd w:id="3"/>
      <w:r>
        <w:rPr>
          <w:rFonts w:hint="eastAsia" w:ascii="仿宋_GB2312" w:eastAsia="仿宋_GB2312"/>
          <w:sz w:val="28"/>
          <w:szCs w:val="28"/>
          <w:lang w:val="en-US" w:eastAsia="zh-CN"/>
        </w:rPr>
        <w:t>《NY 5071 无公害食品 渔用药物使用准则》《NY 5072 无公害食品 渔用配合饲料安全限量》等。二是所引用的文件均为“现行有效”，且引用均符合GB/T 1.1—2020《标准化工作导则 第1部分：标准化文件的结构和起草规则》的要求。</w:t>
      </w:r>
    </w:p>
    <w:p w14:paraId="038E104D">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3.术语与定义</w:t>
      </w:r>
    </w:p>
    <w:p w14:paraId="346B4127">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在3.1术语与定义中，引用了《SC/T 9406 盐碱地水产养殖用水水质》定义了本文件所指的“盐碱水”。</w:t>
      </w:r>
    </w:p>
    <w:p w14:paraId="26EE4D65">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4.环境条件</w:t>
      </w:r>
    </w:p>
    <w:p w14:paraId="16FB4421">
      <w:pPr>
        <w:tabs>
          <w:tab w:val="left" w:pos="2268"/>
        </w:tabs>
        <w:spacing w:line="360" w:lineRule="auto"/>
        <w:ind w:firstLine="560" w:firstLineChars="200"/>
        <w:rPr>
          <w:rFonts w:hint="eastAsia" w:ascii="仿宋_GB2312" w:eastAsia="仿宋_GB2312"/>
          <w:sz w:val="28"/>
          <w:szCs w:val="28"/>
          <w:lang w:val="en-US" w:eastAsia="zh-CN"/>
        </w:rPr>
      </w:pPr>
      <w:bookmarkStart w:id="4" w:name="OLE_LINK3"/>
      <w:bookmarkStart w:id="5" w:name="OLE_LINK4"/>
      <w:r>
        <w:rPr>
          <w:rFonts w:hint="eastAsia" w:ascii="仿宋_GB2312" w:eastAsia="仿宋_GB2312"/>
          <w:sz w:val="28"/>
          <w:szCs w:val="28"/>
          <w:lang w:val="en-US" w:eastAsia="zh-CN"/>
        </w:rPr>
        <w:t>依据鄂尔多斯市草鱼养殖的实际，根据本标准内容4中引用了《NY/T 3616 水产养殖场建设规范》，其目的为鄂尔多斯市养殖草鱼的主体，提供参照“池塘养殖”条件，还要参照这个规范区合理的配置设施设备，以及参照该标准进行规范化管理。</w:t>
      </w:r>
    </w:p>
    <w:p w14:paraId="09ECA398">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5.养殖准备</w:t>
      </w:r>
    </w:p>
    <w:p w14:paraId="7FAE0225">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鄂尔多斯地区有很多是“盐碱水”作为水源养殖草鱼的，因此为了考虑实际应用情况，本条5中5.1规范了盐碱水养殖下“清塘与消毒”和5.3水源水质应符合GB 11607的规定，盐碱水符合SC/T 9406中</w:t>
      </w:r>
      <w:r>
        <w:rPr>
          <w:rFonts w:hint="eastAsia" w:ascii="仿宋_GB2312" w:eastAsia="仿宋_GB2312"/>
          <w:sz w:val="28"/>
          <w:szCs w:val="28"/>
          <w:lang w:val="en-US" w:eastAsia="zh-CN"/>
        </w:rPr>
        <w:fldChar w:fldCharType="begin"/>
      </w:r>
      <w:r>
        <w:rPr>
          <w:rFonts w:hint="eastAsia" w:ascii="仿宋_GB2312" w:eastAsia="仿宋_GB2312"/>
          <w:sz w:val="28"/>
          <w:szCs w:val="28"/>
          <w:lang w:val="en-US" w:eastAsia="zh-CN"/>
        </w:rPr>
        <w:instrText xml:space="preserve"> = 2 \* ROMAN \* MERGEFORMAT </w:instrText>
      </w:r>
      <w:r>
        <w:rPr>
          <w:rFonts w:hint="eastAsia" w:ascii="仿宋_GB2312" w:eastAsia="仿宋_GB2312"/>
          <w:sz w:val="28"/>
          <w:szCs w:val="28"/>
          <w:lang w:val="en-US" w:eastAsia="zh-CN"/>
        </w:rPr>
        <w:fldChar w:fldCharType="separate"/>
      </w:r>
      <w:r>
        <w:rPr>
          <w:rFonts w:hint="eastAsia" w:ascii="仿宋_GB2312" w:eastAsia="仿宋_GB2312"/>
          <w:sz w:val="28"/>
          <w:szCs w:val="28"/>
          <w:lang w:val="en-US" w:eastAsia="zh-CN"/>
        </w:rPr>
        <w:t>I</w:t>
      </w:r>
      <w:r>
        <w:rPr>
          <w:rFonts w:hint="eastAsia" w:ascii="仿宋_GB2312" w:eastAsia="仿宋_GB2312"/>
          <w:sz w:val="28"/>
          <w:szCs w:val="28"/>
          <w:lang w:val="en-US" w:eastAsia="zh-CN"/>
        </w:rPr>
        <w:fldChar w:fldCharType="end"/>
      </w:r>
      <w:r>
        <w:rPr>
          <w:rFonts w:hint="eastAsia" w:ascii="仿宋_GB2312" w:eastAsia="仿宋_GB2312"/>
          <w:sz w:val="28"/>
          <w:szCs w:val="28"/>
          <w:lang w:val="en-US" w:eastAsia="zh-CN"/>
        </w:rPr>
        <w:t>类盐碱水质的规定。为防治注水时一些对鱼类有害的生物进入池塘，因此注水时采用60目以上绢布过滤。</w:t>
      </w:r>
    </w:p>
    <w:p w14:paraId="00BF8311">
      <w:pPr>
        <w:tabs>
          <w:tab w:val="left" w:pos="2268"/>
        </w:tabs>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6.苗种管理</w:t>
      </w:r>
    </w:p>
    <w:p w14:paraId="40BF7223">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首先苗种质量符合《GB/T 11176 草鱼鱼苗、鱼种》的质量要求，在购进苗种时需要检疫合格和苗种消毒。其次给出来适合当地放养的水温（每年4月至5月进行放养，达12</w:t>
      </w:r>
      <w:r>
        <w:rPr>
          <w:rFonts w:hint="default" w:ascii="仿宋_GB2312" w:eastAsia="仿宋_GB2312"/>
          <w:sz w:val="28"/>
          <w:szCs w:val="28"/>
          <w:lang w:val="en-US" w:eastAsia="zh-CN"/>
        </w:rPr>
        <w:t>℃</w:t>
      </w:r>
      <w:r>
        <w:rPr>
          <w:rFonts w:hint="eastAsia" w:ascii="仿宋_GB2312" w:eastAsia="仿宋_GB2312"/>
          <w:sz w:val="28"/>
          <w:szCs w:val="28"/>
          <w:lang w:val="en-US" w:eastAsia="zh-CN"/>
        </w:rPr>
        <w:t>以上）、密度、草鱼性别搭配比例、与其他鱼搭配比例。</w:t>
      </w:r>
    </w:p>
    <w:p w14:paraId="69DD8D3E">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7.饲料管理</w:t>
      </w:r>
    </w:p>
    <w:p w14:paraId="6519B116">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本标准规定的采购的配合饲料的外观与性状、质量指标、营养成分和卫生指标要符合《GB/T 36205 草鱼配合饲料》，安全指标限量要符合《NT 5072 无公害食品 渔用配合饲料安全限量》的要求。本标准依据鄂尔多斯市当地气候和养殖实际情况，规范了投喂时间和投喂量等技术内容。</w:t>
      </w:r>
    </w:p>
    <w:p w14:paraId="65286972">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8.水质管理</w:t>
      </w:r>
    </w:p>
    <w:p w14:paraId="72119D56">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依据实际，给出来检测和控制水质的条件和指标：池水DO≥5mg/L，pH值8.6～9.0，氨氮（NH4-N）≤2mg/L，亚硝酸盐为≤0.2mg/L，透明度为30～40cm。</w:t>
      </w:r>
    </w:p>
    <w:p w14:paraId="3691E731">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同时也规范了控制水质的方法：8月～9月每隔10～15d进行补充肥料和有益藻种，防止水体水质老化或转水，水色过浓时换水，换水深量控制在20cm～30cm。</w:t>
      </w:r>
    </w:p>
    <w:p w14:paraId="79114AC3">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9.日常管理</w:t>
      </w:r>
    </w:p>
    <w:p w14:paraId="5B636CB7">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坚持早、晚巡塘，观察生长情况、饲料来源及投喂情况、水质变化等内容。</w:t>
      </w:r>
    </w:p>
    <w:p w14:paraId="29B8065E">
      <w:pPr>
        <w:adjustRightInd w:val="0"/>
        <w:snapToGrid w:val="0"/>
        <w:spacing w:line="360" w:lineRule="auto"/>
        <w:ind w:firstLine="560" w:firstLineChars="200"/>
        <w:rPr>
          <w:rFonts w:hint="eastAsia" w:ascii="仿宋_GB2312" w:eastAsia="仿宋_GB2312"/>
          <w:sz w:val="28"/>
          <w:szCs w:val="28"/>
          <w:lang w:val="en-US" w:eastAsia="zh-CN"/>
        </w:rPr>
      </w:pPr>
      <w:r>
        <w:rPr>
          <w:rFonts w:hint="eastAsia" w:ascii="仿宋_GB2312" w:eastAsia="仿宋_GB2312"/>
          <w:sz w:val="28"/>
          <w:szCs w:val="28"/>
          <w:lang w:val="en-US" w:eastAsia="zh-CN"/>
        </w:rPr>
        <w:t>10.越冬</w:t>
      </w:r>
    </w:p>
    <w:p w14:paraId="3F1923A3">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本标准规范了鄂尔多斯地区草鱼安全越冬的存鱼量（密度1000斤/亩），池塘条件，以及保障措施。</w:t>
      </w:r>
    </w:p>
    <w:p w14:paraId="3012FA63">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11.鱼病防治</w:t>
      </w:r>
    </w:p>
    <w:p w14:paraId="21AB243A">
      <w:pPr>
        <w:pStyle w:val="7"/>
        <w:spacing w:line="360" w:lineRule="auto"/>
        <w:ind w:firstLine="482"/>
        <w:rPr>
          <w:rFonts w:hint="default" w:ascii="仿宋_GB2312" w:eastAsia="仿宋_GB2312"/>
          <w:sz w:val="28"/>
          <w:szCs w:val="28"/>
          <w:lang w:val="en-US" w:eastAsia="zh-CN"/>
        </w:rPr>
      </w:pPr>
      <w:r>
        <w:rPr>
          <w:rFonts w:hint="eastAsia" w:ascii="仿宋_GB2312" w:eastAsia="仿宋_GB2312"/>
          <w:sz w:val="28"/>
          <w:szCs w:val="28"/>
          <w:lang w:val="en-US" w:eastAsia="zh-CN"/>
        </w:rPr>
        <w:t>本标准给出来鄂尔多斯地区草鱼常见病，规范了当地预防病害的措施。</w:t>
      </w:r>
    </w:p>
    <w:p w14:paraId="627675C4">
      <w:pPr>
        <w:pStyle w:val="7"/>
        <w:spacing w:line="360" w:lineRule="auto"/>
        <w:ind w:firstLine="482"/>
        <w:rPr>
          <w:rFonts w:hint="default" w:ascii="仿宋_GB2312" w:eastAsia="仿宋_GB2312"/>
          <w:sz w:val="28"/>
          <w:szCs w:val="28"/>
          <w:lang w:val="en-US" w:eastAsia="zh-CN"/>
        </w:rPr>
      </w:pPr>
      <w:r>
        <w:rPr>
          <w:rFonts w:hint="eastAsia" w:ascii="仿宋_GB2312" w:eastAsia="仿宋_GB2312"/>
          <w:sz w:val="28"/>
          <w:szCs w:val="28"/>
          <w:lang w:val="en-US" w:eastAsia="zh-CN"/>
        </w:rPr>
        <w:t>12.水产品安全和生产安全</w:t>
      </w:r>
    </w:p>
    <w:p w14:paraId="2375E632">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鉴于水产品质量安全关系到每个人，和养殖水产品的本身价值和效应，在本标准规范了相关内容。在养殖过程中涉及水产品质量安全控制技术的，按照NY/T2798.13执行；涉及质量安全管理规范都，按照SC/T 0004 执行。</w:t>
      </w:r>
    </w:p>
    <w:p w14:paraId="31FA65C3">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13.捕捞</w:t>
      </w:r>
    </w:p>
    <w:p w14:paraId="15EB77D8">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依据当地市场需求，规范了捕捞规格。</w:t>
      </w:r>
    </w:p>
    <w:p w14:paraId="3162E641">
      <w:pPr>
        <w:pStyle w:val="7"/>
        <w:spacing w:line="360" w:lineRule="auto"/>
        <w:ind w:firstLine="482"/>
        <w:rPr>
          <w:rFonts w:hint="default" w:ascii="仿宋_GB2312" w:eastAsia="仿宋_GB2312"/>
          <w:sz w:val="28"/>
          <w:szCs w:val="28"/>
          <w:lang w:val="en-US" w:eastAsia="zh-CN"/>
        </w:rPr>
      </w:pPr>
      <w:r>
        <w:rPr>
          <w:rFonts w:hint="eastAsia" w:ascii="仿宋_GB2312" w:eastAsia="仿宋_GB2312"/>
          <w:sz w:val="28"/>
          <w:szCs w:val="28"/>
          <w:lang w:val="en-US" w:eastAsia="zh-CN"/>
        </w:rPr>
        <w:t>14.尾水处理</w:t>
      </w:r>
    </w:p>
    <w:p w14:paraId="4D6EDE2F">
      <w:pPr>
        <w:pStyle w:val="7"/>
        <w:spacing w:line="360" w:lineRule="auto"/>
        <w:ind w:firstLine="482"/>
      </w:pPr>
      <w:r>
        <w:rPr>
          <w:rFonts w:hint="eastAsia" w:ascii="仿宋_GB2312" w:eastAsia="仿宋_GB2312"/>
          <w:sz w:val="28"/>
          <w:szCs w:val="28"/>
          <w:lang w:val="en-US" w:eastAsia="zh-CN"/>
        </w:rPr>
        <w:t>当下，我们国家、自治区、鄂尔多斯市都相继出台了“四水四定”相关政策，基于“以为定产”已经成为鄂尔多斯市各个行业，尤其是农牧行业里面必须面临的问题，在确定标准内容框架中加入了水处理及水的循环利用的技术内容，推进水产养殖“节水”等工作的落实。</w:t>
      </w:r>
    </w:p>
    <w:bookmarkEnd w:id="4"/>
    <w:bookmarkEnd w:id="5"/>
    <w:p w14:paraId="080B9EBF">
      <w:pPr>
        <w:widowControl w:val="0"/>
        <w:spacing w:line="360" w:lineRule="auto"/>
        <w:ind w:firstLine="640" w:firstLineChars="200"/>
        <w:jc w:val="both"/>
        <w:rPr>
          <w:rFonts w:hint="eastAsia" w:ascii="楷体_GB2312" w:hAnsi="楷体_GB2312" w:eastAsia="楷体_GB2312" w:cs="楷体_GB2312"/>
          <w:kern w:val="2"/>
          <w:sz w:val="32"/>
          <w:szCs w:val="32"/>
          <w:lang w:val="en-US" w:eastAsia="zh-CN" w:bidi="ar-SA"/>
        </w:rPr>
      </w:pPr>
      <w:r>
        <w:rPr>
          <w:rFonts w:hint="eastAsia" w:ascii="楷体_GB2312" w:hAnsi="楷体_GB2312" w:eastAsia="楷体_GB2312" w:cs="楷体_GB2312"/>
          <w:kern w:val="2"/>
          <w:sz w:val="32"/>
          <w:szCs w:val="32"/>
          <w:lang w:val="en-US" w:eastAsia="zh-CN" w:bidi="ar-SA"/>
        </w:rPr>
        <w:t>（二）主要试验验证的分析</w:t>
      </w:r>
    </w:p>
    <w:p w14:paraId="66781FD8">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试验整体上论证《草鱼池塘养殖技术规程》中所规范内容和数据的科学性、前瞻性、合理性、完整性、可行性。选择一个对照池塘（40亩），一个试验池塘（15亩）。2022年整个养殖周期内，试验池塘每亩放养鱼苗300尾，最终亩产430kg，每亩消耗饲料935kg，饲料系数为2.5。对照组试验池塘每亩放养鱼苗300尾，最终亩产410kg，每亩消耗饲料1060kg，饲料系数为3。综合实验组及对照组试验数据，每亩饲料节省量为125kg，饲料节省比例为12%，亩产增加20kg。2023年整个养殖周期内，试验池塘每亩放养鱼苗300尾，最终亩产450kg，每亩消耗饲料980kg，饲料系数为2.5。对照组试验池塘每亩放养鱼苗300尾，最终亩产410kg，每亩消耗饲料1090kg，饲料系数为3.1。综合实验组及对照组试验数据，每亩饲料节省量为110kg，饲料节省比例为10%，亩产增加40kg。根据两年的养殖数据分析，饲料节省率和亩产增加值均达到试验设计预期，证明该标准设计的养殖流程及具体参数科学合规。</w:t>
      </w:r>
    </w:p>
    <w:p w14:paraId="7289237C">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六、重大意见分歧的处理依据和结果</w:t>
      </w:r>
    </w:p>
    <w:p w14:paraId="70A8BF97">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本标准制定过程征求了相关专家的意见和建议，无任何重大分歧意见。</w:t>
      </w:r>
    </w:p>
    <w:p w14:paraId="5B573274">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七、采用国际标准或国外先进标准的，说明采用程度，以及国内外同类标准水平的对比情况</w:t>
      </w:r>
    </w:p>
    <w:p w14:paraId="0B8CB02C">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未查阅到关于草鱼养殖技术的国际或国外现行的相关标准。本标准在制定过程中考虑到鄂尔多斯市（包含盐碱水）草鱼池塘养殖的实际情况，主要参考我国的国家标准及北方地区地方标准，符合鄂尔多斯市生产情况。</w:t>
      </w:r>
    </w:p>
    <w:p w14:paraId="15BC7DA2">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八、标准的要求和措施建议（包括组织措施、技术措施、过度办法、实施日期等）</w:t>
      </w:r>
    </w:p>
    <w:p w14:paraId="15464DF7">
      <w:pPr>
        <w:pStyle w:val="7"/>
        <w:spacing w:line="360" w:lineRule="auto"/>
        <w:ind w:firstLine="482"/>
        <w:rPr>
          <w:rFonts w:hint="eastAsia" w:ascii="仿宋_GB2312" w:eastAsia="仿宋_GB2312"/>
          <w:sz w:val="28"/>
          <w:szCs w:val="28"/>
          <w:lang w:val="en-US" w:eastAsia="zh-CN"/>
        </w:rPr>
      </w:pPr>
      <w:r>
        <w:rPr>
          <w:rFonts w:hint="eastAsia" w:ascii="楷体_GB2312" w:hAnsi="楷体_GB2312" w:eastAsia="楷体_GB2312" w:cs="楷体_GB2312"/>
          <w:sz w:val="28"/>
          <w:szCs w:val="28"/>
          <w:lang w:val="en-US" w:eastAsia="zh-CN"/>
        </w:rPr>
        <w:t>（一）加强宣传贯彻。</w:t>
      </w:r>
      <w:r>
        <w:rPr>
          <w:rFonts w:hint="eastAsia" w:ascii="仿宋_GB2312" w:eastAsia="仿宋_GB2312"/>
          <w:sz w:val="28"/>
          <w:szCs w:val="28"/>
          <w:lang w:val="en-US" w:eastAsia="zh-CN"/>
        </w:rPr>
        <w:t>标准发布后广泛组织宣贯，通过举办培训班、各类媒体宣传、制作模式图等各种途径，解读标准内容，为标准推广落地奠定基础。</w:t>
      </w:r>
    </w:p>
    <w:p w14:paraId="665B7CA9">
      <w:pPr>
        <w:pStyle w:val="7"/>
        <w:spacing w:line="360" w:lineRule="auto"/>
        <w:ind w:firstLine="482"/>
        <w:rPr>
          <w:rFonts w:hint="eastAsia" w:ascii="仿宋_GB2312" w:eastAsia="仿宋_GB2312"/>
          <w:sz w:val="28"/>
          <w:szCs w:val="28"/>
          <w:lang w:val="en-US" w:eastAsia="zh-CN"/>
        </w:rPr>
      </w:pPr>
      <w:r>
        <w:rPr>
          <w:rFonts w:hint="eastAsia" w:ascii="楷体_GB2312" w:hAnsi="楷体_GB2312" w:eastAsia="楷体_GB2312" w:cs="楷体_GB2312"/>
          <w:sz w:val="28"/>
          <w:szCs w:val="28"/>
          <w:lang w:val="en-US" w:eastAsia="zh-CN"/>
        </w:rPr>
        <w:t>（二）加强技术指导。</w:t>
      </w:r>
      <w:r>
        <w:rPr>
          <w:rFonts w:hint="eastAsia" w:ascii="仿宋_GB2312" w:eastAsia="仿宋_GB2312"/>
          <w:sz w:val="28"/>
          <w:szCs w:val="28"/>
          <w:lang w:val="en-US" w:eastAsia="zh-CN"/>
        </w:rPr>
        <w:t>经常性深入养殖场，实地指导相关养殖主体开展设施建设、设备配备和养殖管理，及时帮助解决生产中遇到的技术难题，确保该标准落地、该养殖模式规范发展。</w:t>
      </w:r>
    </w:p>
    <w:p w14:paraId="5C4BEE39">
      <w:pPr>
        <w:pStyle w:val="7"/>
        <w:spacing w:line="360" w:lineRule="auto"/>
        <w:ind w:firstLine="482"/>
        <w:rPr>
          <w:rFonts w:hint="eastAsia" w:ascii="仿宋_GB2312" w:eastAsia="仿宋_GB2312"/>
          <w:sz w:val="28"/>
          <w:szCs w:val="28"/>
          <w:lang w:val="en-US" w:eastAsia="zh-CN"/>
        </w:rPr>
      </w:pPr>
      <w:r>
        <w:rPr>
          <w:rFonts w:hint="eastAsia" w:ascii="楷体_GB2312" w:hAnsi="楷体_GB2312" w:eastAsia="楷体_GB2312" w:cs="楷体_GB2312"/>
          <w:sz w:val="28"/>
          <w:szCs w:val="28"/>
          <w:lang w:val="en-US" w:eastAsia="zh-CN"/>
        </w:rPr>
        <w:t>（三）加强示范带动。</w:t>
      </w:r>
      <w:r>
        <w:rPr>
          <w:rFonts w:hint="eastAsia" w:ascii="仿宋_GB2312" w:eastAsia="仿宋_GB2312"/>
          <w:sz w:val="28"/>
          <w:szCs w:val="28"/>
          <w:lang w:val="en-US" w:eastAsia="zh-CN"/>
        </w:rPr>
        <w:t>注重培育一批示范基地，督促示范基地严格按照标准生产。同时，充分发挥示范基地带动作用，通过召开观摩会等形式，组织相关人员现场学习草鱼池塘养殖技术的关键环节，从而推动全市南美白对虾养殖标准化水平不断提高。</w:t>
      </w:r>
    </w:p>
    <w:p w14:paraId="5579AE01">
      <w:pPr>
        <w:keepNext w:val="0"/>
        <w:keepLines w:val="0"/>
        <w:pageBreakBefore w:val="0"/>
        <w:numPr>
          <w:ilvl w:val="0"/>
          <w:numId w:val="0"/>
        </w:numPr>
        <w:kinsoku/>
        <w:wordWrap/>
        <w:overflowPunct/>
        <w:topLinePunct w:val="0"/>
        <w:bidi w:val="0"/>
        <w:spacing w:line="360" w:lineRule="auto"/>
        <w:ind w:firstLine="640" w:firstLineChars="200"/>
        <w:textAlignment w:val="auto"/>
        <w:rPr>
          <w:rFonts w:hint="eastAsia" w:ascii="CESI黑体-GB2312" w:hAnsi="CESI黑体-GB2312" w:eastAsia="CESI黑体-GB2312" w:cs="CESI黑体-GB2312"/>
          <w:bCs/>
          <w:kern w:val="44"/>
          <w:sz w:val="32"/>
          <w:szCs w:val="32"/>
          <w:lang w:val="en-US" w:eastAsia="zh-CN" w:bidi="ar-SA"/>
        </w:rPr>
      </w:pPr>
      <w:r>
        <w:rPr>
          <w:rFonts w:hint="eastAsia" w:ascii="CESI黑体-GB2312" w:hAnsi="CESI黑体-GB2312" w:eastAsia="CESI黑体-GB2312" w:cs="CESI黑体-GB2312"/>
          <w:bCs/>
          <w:kern w:val="44"/>
          <w:sz w:val="32"/>
          <w:szCs w:val="32"/>
          <w:lang w:val="en-US" w:eastAsia="zh-CN" w:bidi="ar-SA"/>
        </w:rPr>
        <w:t>九、其他应说明的事项</w:t>
      </w:r>
    </w:p>
    <w:p w14:paraId="211C51D0">
      <w:pPr>
        <w:pStyle w:val="7"/>
        <w:spacing w:line="360" w:lineRule="auto"/>
        <w:ind w:firstLine="482"/>
        <w:rPr>
          <w:rFonts w:hint="eastAsia" w:ascii="仿宋_GB2312" w:eastAsia="仿宋_GB2312"/>
          <w:sz w:val="28"/>
          <w:szCs w:val="28"/>
          <w:lang w:val="en-US" w:eastAsia="zh-CN"/>
        </w:rPr>
      </w:pPr>
      <w:r>
        <w:rPr>
          <w:rFonts w:hint="eastAsia" w:ascii="仿宋_GB2312" w:eastAsia="仿宋_GB2312"/>
          <w:sz w:val="28"/>
          <w:szCs w:val="28"/>
          <w:lang w:val="en-US" w:eastAsia="zh-CN"/>
        </w:rPr>
        <w:t>无其他需说明的事项</w:t>
      </w:r>
    </w:p>
    <w:p w14:paraId="76941C53">
      <w:pPr>
        <w:pStyle w:val="3"/>
        <w:keepNext w:val="0"/>
        <w:keepLines w:val="0"/>
        <w:pageBreakBefore w:val="0"/>
        <w:kinsoku/>
        <w:wordWrap/>
        <w:overflowPunct/>
        <w:topLinePunct w:val="0"/>
        <w:bidi w:val="0"/>
        <w:spacing w:line="360" w:lineRule="auto"/>
        <w:textAlignment w:val="auto"/>
        <w:rPr>
          <w:rFonts w:hint="eastAsia"/>
          <w:lang w:eastAsia="zh-CN"/>
        </w:rPr>
      </w:pPr>
    </w:p>
    <w:p w14:paraId="26EA0236">
      <w:pPr>
        <w:spacing w:line="360" w:lineRule="auto"/>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Courier New">
    <w:panose1 w:val="02070309020205020404"/>
    <w:charset w:val="00"/>
    <w:family w:val="modern"/>
    <w:pitch w:val="default"/>
    <w:sig w:usb0="E0002EFF" w:usb1="C0007843" w:usb2="00000009" w:usb3="00000000" w:csb0="400001FF" w:csb1="FFFF0000"/>
  </w:font>
  <w:font w:name="方正小标宋简体">
    <w:panose1 w:val="03000509000000000000"/>
    <w:charset w:val="86"/>
    <w:family w:val="script"/>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 w:name="方正小标宋_GBK">
    <w:altName w:val="微软雅黑"/>
    <w:panose1 w:val="03000509000000000000"/>
    <w:charset w:val="86"/>
    <w:family w:val="auto"/>
    <w:pitch w:val="default"/>
    <w:sig w:usb0="00000001" w:usb1="080E0000" w:usb2="00000000" w:usb3="00000000" w:csb0="00040000" w:csb1="00000000"/>
  </w:font>
  <w:font w:name="CESI黑体-GB2312">
    <w:altName w:val="黑体"/>
    <w:panose1 w:val="02000500000000000000"/>
    <w:charset w:val="86"/>
    <w:family w:val="auto"/>
    <w:pitch w:val="default"/>
    <w:sig w:usb0="800002BF" w:usb1="184F6CF8" w:usb2="00000012" w:usb3="00000000" w:csb0="0004000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5"/>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36E593A"/>
    <w:rsid w:val="436E593A"/>
    <w:rsid w:val="607652F6"/>
    <w:rsid w:val="67AC8B86"/>
    <w:rsid w:val="67DD831A"/>
    <w:rsid w:val="6D9C6711"/>
    <w:rsid w:val="7BDFC45F"/>
    <w:rsid w:val="7EF9EAFA"/>
    <w:rsid w:val="7F7F490B"/>
    <w:rsid w:val="DD7D4C83"/>
    <w:rsid w:val="EBDF9A70"/>
    <w:rsid w:val="F7FEACA7"/>
    <w:rsid w:val="FAFAAB4D"/>
    <w:rsid w:val="FDFF88B7"/>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3">
    <w:name w:val="Body Text"/>
    <w:basedOn w:val="1"/>
    <w:unhideWhenUsed/>
    <w:qFormat/>
    <w:uiPriority w:val="99"/>
    <w:pPr>
      <w:spacing w:after="120"/>
    </w:pPr>
  </w:style>
  <w:style w:type="paragraph" w:styleId="4">
    <w:name w:val="Plain Text"/>
    <w:basedOn w:val="1"/>
    <w:unhideWhenUsed/>
    <w:qFormat/>
    <w:uiPriority w:val="99"/>
    <w:rPr>
      <w:rFonts w:ascii="宋体" w:hAnsi="Courier New"/>
      <w:szCs w:val="21"/>
    </w:rPr>
  </w:style>
  <w:style w:type="paragraph" w:customStyle="1" w:styleId="7">
    <w:name w:val="段"/>
    <w:qFormat/>
    <w:uiPriority w:val="0"/>
    <w:pPr>
      <w:tabs>
        <w:tab w:val="center" w:pos="4201"/>
        <w:tab w:val="right" w:leader="dot" w:pos="9298"/>
      </w:tabs>
      <w:autoSpaceDE w:val="0"/>
      <w:autoSpaceDN w:val="0"/>
      <w:ind w:firstLine="420" w:firstLineChars="200"/>
      <w:jc w:val="both"/>
    </w:pPr>
    <w:rPr>
      <w:rFonts w:ascii="宋体" w:hAnsi="Calibri" w:eastAsia="宋体" w:cs="Times New Roman"/>
      <w:sz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6210</Words>
  <Characters>6595</Characters>
  <Lines>0</Lines>
  <Paragraphs>0</Paragraphs>
  <TotalTime>6</TotalTime>
  <ScaleCrop>false</ScaleCrop>
  <LinksUpToDate>false</LinksUpToDate>
  <CharactersWithSpaces>6705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2024-06-06T19:07:00Z</dcterms:created>
  <dc:creator>greatwall</dc:creator>
  <cp:lastModifiedBy>张欣</cp:lastModifiedBy>
  <dcterms:modified xsi:type="dcterms:W3CDTF">2025-01-03T08:08:48Z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561EB9D6C7F345EDB4667B0278BBDBCC_13</vt:lpwstr>
  </property>
</Properties>
</file>